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rFonts w:hint="default" w:eastAsia="宋体"/>
          <w:sz w:val="22"/>
          <w:szCs w:val="22"/>
          <w:lang w:val="en-US" w:eastAsia="zh-CN"/>
        </w:rPr>
      </w:pPr>
      <w:bookmarkStart w:id="0" w:name="OLE_LINK1"/>
      <w:r>
        <w:rPr>
          <w:rFonts w:ascii="Arial" w:hAnsi="Arial" w:cs="Arial"/>
          <w:b/>
          <w:sz w:val="22"/>
          <w:szCs w:val="22"/>
        </w:rPr>
        <w:t xml:space="preserve">3GPP TSG RAN WG1 Meeting </w:t>
      </w:r>
      <w:r>
        <w:rPr>
          <w:rFonts w:ascii="Arial" w:hAnsi="Arial" w:cs="Arial"/>
          <w:b/>
          <w:sz w:val="22"/>
          <w:szCs w:val="22"/>
          <w:lang w:eastAsia="zh-CN"/>
        </w:rPr>
        <w:t>#10</w:t>
      </w:r>
      <w:r>
        <w:rPr>
          <w:rFonts w:hint="eastAsia" w:ascii="Arial" w:hAnsi="Arial" w:cs="Arial"/>
          <w:b/>
          <w:sz w:val="22"/>
          <w:szCs w:val="22"/>
          <w:lang w:val="en-US" w:eastAsia="zh-CN"/>
        </w:rPr>
        <w:t>5</w:t>
      </w:r>
      <w:r>
        <w:rPr>
          <w:rFonts w:ascii="Arial" w:hAnsi="Arial" w:cs="Arial"/>
          <w:b/>
          <w:sz w:val="22"/>
          <w:szCs w:val="22"/>
          <w:lang w:eastAsia="zh-CN"/>
        </w:rPr>
        <w:t>-e</w:t>
      </w:r>
      <w:r>
        <w:rPr>
          <w:rFonts w:hint="eastAsia" w:ascii="Arial" w:hAnsi="Arial" w:cs="Arial"/>
          <w:b/>
          <w:sz w:val="22"/>
          <w:szCs w:val="22"/>
          <w:lang w:val="en-US" w:eastAsia="zh-CN"/>
        </w:rPr>
        <w:t xml:space="preserve">                                                                     </w:t>
      </w:r>
      <w:r>
        <w:rPr>
          <w:rFonts w:hint="eastAsia" w:ascii="Arial" w:hAnsi="Arial" w:cs="Arial"/>
          <w:b/>
          <w:sz w:val="22"/>
          <w:szCs w:val="22"/>
        </w:rPr>
        <w:t>R1-2</w:t>
      </w:r>
      <w:r>
        <w:rPr>
          <w:rFonts w:hint="eastAsia" w:ascii="Arial" w:hAnsi="Arial" w:eastAsia="宋体" w:cs="Arial"/>
          <w:b/>
          <w:sz w:val="22"/>
          <w:szCs w:val="22"/>
          <w:lang w:val="en-US" w:eastAsia="zh-CN"/>
        </w:rPr>
        <w:t>104328</w:t>
      </w:r>
    </w:p>
    <w:p>
      <w:pPr>
        <w:pStyle w:val="21"/>
        <w:tabs>
          <w:tab w:val="right" w:pos="8280"/>
          <w:tab w:val="right" w:pos="9781"/>
        </w:tabs>
        <w:snapToGrid w:val="0"/>
        <w:spacing w:after="180" w:afterLines="50" w:line="240" w:lineRule="auto"/>
        <w:rPr>
          <w:sz w:val="20"/>
        </w:rPr>
      </w:pPr>
      <w:r>
        <w:rPr>
          <w:rFonts w:cs="Arial"/>
          <w:sz w:val="22"/>
          <w:szCs w:val="22"/>
          <w:lang w:eastAsia="zh-CN"/>
        </w:rPr>
        <w:t>e-Meeting,</w:t>
      </w:r>
      <w:r>
        <w:rPr>
          <w:rFonts w:eastAsia="MS Mincho" w:cs="Arial"/>
          <w:bCs/>
          <w:sz w:val="22"/>
          <w:szCs w:val="22"/>
          <w:lang w:eastAsia="ja-JP"/>
        </w:rPr>
        <w:t xml:space="preserve"> </w:t>
      </w:r>
      <w:r>
        <w:rPr>
          <w:rFonts w:hint="eastAsia" w:eastAsia="宋体" w:cs="Arial"/>
          <w:bCs/>
          <w:sz w:val="22"/>
          <w:szCs w:val="22"/>
          <w:lang w:val="en-US" w:eastAsia="zh-CN"/>
        </w:rPr>
        <w:t>May</w:t>
      </w:r>
      <w:r>
        <w:rPr>
          <w:rFonts w:eastAsia="MS Mincho" w:cs="Arial"/>
          <w:bCs/>
          <w:sz w:val="22"/>
          <w:szCs w:val="22"/>
          <w:lang w:eastAsia="ja-JP"/>
        </w:rPr>
        <w:t xml:space="preserve"> </w:t>
      </w:r>
      <w:r>
        <w:rPr>
          <w:rFonts w:hint="eastAsia" w:eastAsia="宋体" w:cs="Arial"/>
          <w:bCs/>
          <w:sz w:val="22"/>
          <w:szCs w:val="22"/>
          <w:lang w:eastAsia="zh-CN"/>
        </w:rPr>
        <w:t>1</w:t>
      </w:r>
      <w:r>
        <w:rPr>
          <w:rFonts w:hint="eastAsia" w:eastAsia="宋体" w:cs="Arial"/>
          <w:bCs/>
          <w:sz w:val="22"/>
          <w:szCs w:val="22"/>
          <w:lang w:val="en-US" w:eastAsia="zh-CN"/>
        </w:rPr>
        <w:t>0</w:t>
      </w:r>
      <w:r>
        <w:rPr>
          <w:rFonts w:eastAsia="MS Mincho" w:cs="Arial"/>
          <w:bCs/>
          <w:sz w:val="22"/>
          <w:szCs w:val="22"/>
          <w:vertAlign w:val="superscript"/>
          <w:lang w:eastAsia="ja-JP"/>
        </w:rPr>
        <w:t>th</w:t>
      </w:r>
      <w:r>
        <w:rPr>
          <w:rFonts w:eastAsia="MS Mincho" w:cs="Arial"/>
          <w:bCs/>
          <w:sz w:val="22"/>
          <w:szCs w:val="22"/>
          <w:lang w:eastAsia="ja-JP"/>
        </w:rPr>
        <w:t xml:space="preserve"> – </w:t>
      </w:r>
      <w:r>
        <w:rPr>
          <w:rFonts w:hint="eastAsia" w:eastAsia="宋体" w:cs="Arial"/>
          <w:bCs/>
          <w:sz w:val="22"/>
          <w:szCs w:val="22"/>
          <w:lang w:eastAsia="zh-CN"/>
        </w:rPr>
        <w:t>2</w:t>
      </w:r>
      <w:r>
        <w:rPr>
          <w:rFonts w:hint="eastAsia" w:eastAsia="宋体" w:cs="Arial"/>
          <w:bCs/>
          <w:sz w:val="22"/>
          <w:szCs w:val="22"/>
          <w:lang w:val="en-US" w:eastAsia="zh-CN"/>
        </w:rPr>
        <w:t>7</w:t>
      </w:r>
      <w:r>
        <w:rPr>
          <w:rFonts w:eastAsia="MS Mincho" w:cs="Arial"/>
          <w:bCs/>
          <w:sz w:val="22"/>
          <w:szCs w:val="22"/>
          <w:vertAlign w:val="superscript"/>
          <w:lang w:eastAsia="ja-JP"/>
        </w:rPr>
        <w:t>th</w:t>
      </w:r>
      <w:r>
        <w:rPr>
          <w:rFonts w:eastAsia="MS Mincho" w:cs="Arial"/>
          <w:bCs/>
          <w:sz w:val="22"/>
          <w:szCs w:val="22"/>
          <w:lang w:eastAsia="ja-JP"/>
        </w:rPr>
        <w:t>,</w:t>
      </w:r>
      <w:r>
        <w:rPr>
          <w:rFonts w:hint="eastAsia" w:eastAsia="宋体" w:cs="Arial"/>
          <w:bCs/>
          <w:sz w:val="22"/>
          <w:szCs w:val="22"/>
          <w:lang w:eastAsia="zh-CN"/>
        </w:rPr>
        <w:t xml:space="preserve"> </w:t>
      </w:r>
      <w:r>
        <w:rPr>
          <w:rFonts w:cs="Arial"/>
          <w:sz w:val="22"/>
          <w:szCs w:val="22"/>
          <w:lang w:eastAsia="zh-CN"/>
        </w:rPr>
        <w:t>202</w:t>
      </w:r>
      <w:r>
        <w:rPr>
          <w:rFonts w:hint="eastAsia" w:cs="Arial"/>
          <w:sz w:val="22"/>
          <w:szCs w:val="22"/>
          <w:lang w:eastAsia="zh-CN"/>
        </w:rPr>
        <w:t>1</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w:t>
      </w:r>
      <w:r>
        <w:rPr>
          <w:rFonts w:hint="eastAsia" w:eastAsia="宋体"/>
          <w:sz w:val="20"/>
          <w:lang w:eastAsia="zh-CN"/>
        </w:rPr>
        <w:t>Discussion on unlicensed band URLLC/IIoT</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8.3.2</w:t>
      </w:r>
    </w:p>
    <w:p>
      <w:pPr>
        <w:pStyle w:val="21"/>
        <w:snapToGrid w:val="0"/>
        <w:spacing w:after="180" w:afterLines="50" w:line="240" w:lineRule="auto"/>
        <w:rPr>
          <w:sz w:val="20"/>
        </w:rPr>
      </w:pPr>
      <w:r>
        <w:rPr>
          <w:sz w:val="20"/>
        </w:rPr>
        <w:t>Document for:  Discussion and Decision</w:t>
      </w:r>
      <w:bookmarkEnd w:id="0"/>
    </w:p>
    <w:p>
      <w:pPr>
        <w:pStyle w:val="2"/>
        <w:spacing w:beforeLines="0" w:after="180" w:afterLines="50"/>
        <w:rPr>
          <w:szCs w:val="28"/>
        </w:rPr>
      </w:pPr>
      <w:r>
        <w:rPr>
          <w:szCs w:val="28"/>
        </w:rPr>
        <w:t>I</w:t>
      </w:r>
      <w:r>
        <w:rPr>
          <w:rFonts w:hint="eastAsia"/>
          <w:szCs w:val="28"/>
        </w:rPr>
        <w:t>ntroduction</w:t>
      </w:r>
    </w:p>
    <w:p>
      <w:pPr>
        <w:spacing w:after="0"/>
        <w:rPr>
          <w:lang w:eastAsia="zh-CN"/>
        </w:rPr>
      </w:pPr>
      <w:r>
        <w:rPr>
          <w:rFonts w:hint="eastAsia"/>
          <w:lang w:val="en-US" w:eastAsia="zh-CN"/>
        </w:rPr>
        <w:t xml:space="preserve">In the </w:t>
      </w:r>
      <w:r>
        <w:rPr>
          <w:lang w:eastAsia="zh-CN"/>
        </w:rPr>
        <w:t>RAN#8</w:t>
      </w:r>
      <w:r>
        <w:rPr>
          <w:rFonts w:hint="eastAsia"/>
          <w:lang w:val="en-US" w:eastAsia="zh-CN"/>
        </w:rPr>
        <w:t>8</w:t>
      </w:r>
      <w:r>
        <w:rPr>
          <w:lang w:eastAsia="zh-CN"/>
        </w:rPr>
        <w:t xml:space="preserve"> meeting, </w:t>
      </w:r>
      <w:r>
        <w:rPr>
          <w:rFonts w:hint="eastAsia"/>
          <w:lang w:val="en-US" w:eastAsia="zh-CN"/>
        </w:rPr>
        <w:t xml:space="preserve">the scope </w:t>
      </w:r>
      <w:r>
        <w:rPr>
          <w:lang w:val="en-US"/>
        </w:rPr>
        <w:t>for URLLC in unlicensed controlled environments</w:t>
      </w:r>
      <w:r>
        <w:rPr>
          <w:lang w:eastAsia="zh-CN"/>
        </w:rPr>
        <w:t xml:space="preserve"> </w:t>
      </w:r>
      <w:r>
        <w:rPr>
          <w:rFonts w:hint="eastAsia"/>
          <w:lang w:val="en-US" w:eastAsia="zh-CN"/>
        </w:rPr>
        <w:t xml:space="preserve">in </w:t>
      </w:r>
      <w:r>
        <w:rPr>
          <w:lang w:eastAsia="zh-CN"/>
        </w:rPr>
        <w:t xml:space="preserve">Rel-17 </w:t>
      </w:r>
      <w:r>
        <w:rPr>
          <w:rFonts w:hint="eastAsia"/>
          <w:lang w:val="en-US" w:eastAsia="zh-CN"/>
        </w:rPr>
        <w:t>URLLC WI</w:t>
      </w:r>
      <w:r>
        <w:rPr>
          <w:lang w:eastAsia="zh-CN"/>
        </w:rPr>
        <w:t xml:space="preserve"> was </w:t>
      </w:r>
      <w:r>
        <w:rPr>
          <w:rFonts w:hint="eastAsia"/>
          <w:lang w:val="en-US" w:eastAsia="zh-CN"/>
        </w:rPr>
        <w:t>fin</w:t>
      </w:r>
      <w:r>
        <w:rPr>
          <w:lang w:eastAsia="zh-CN"/>
        </w:rPr>
        <w:t>a</w:t>
      </w:r>
      <w:r>
        <w:rPr>
          <w:lang w:val="en-US" w:eastAsia="zh-CN"/>
        </w:rPr>
        <w:t>lly</w:t>
      </w:r>
      <w:r>
        <w:rPr>
          <w:rFonts w:hint="eastAsia"/>
          <w:lang w:val="en-US" w:eastAsia="zh-CN"/>
        </w:rPr>
        <w:t xml:space="preserve"> determined </w:t>
      </w:r>
      <w:r>
        <w:rPr>
          <w:lang w:eastAsia="zh-CN"/>
        </w:rPr>
        <w:t xml:space="preserve">[1]. </w:t>
      </w:r>
      <w:r>
        <w:rPr>
          <w:rFonts w:hint="eastAsia"/>
          <w:lang w:val="en-US" w:eastAsia="zh-CN"/>
        </w:rPr>
        <w:t>Only the following two aspects for uplink enhancements are included.</w:t>
      </w:r>
    </w:p>
    <w:p>
      <w:pPr>
        <w:numPr>
          <w:ilvl w:val="0"/>
          <w:numId w:val="3"/>
        </w:numPr>
        <w:spacing w:before="180" w:beforeLines="50" w:after="0"/>
        <w:rPr>
          <w:lang w:eastAsia="fi-FI"/>
        </w:rPr>
      </w:pPr>
      <w:r>
        <w:rPr>
          <w:lang w:val="en-US" w:eastAsia="fi-FI"/>
        </w:rPr>
        <w:t>Specify support for UE-initiated COT for FBE with minimum specification effort</w:t>
      </w:r>
    </w:p>
    <w:p>
      <w:pPr>
        <w:numPr>
          <w:ilvl w:val="0"/>
          <w:numId w:val="3"/>
        </w:numPr>
        <w:spacing w:after="180" w:afterLines="50"/>
        <w:rPr>
          <w:lang w:val="en-US" w:eastAsia="fi-FI"/>
        </w:rPr>
      </w:pPr>
      <w:r>
        <w:rPr>
          <w:lang w:val="en-US" w:eastAsia="fi-FI"/>
        </w:rPr>
        <w:t>Harmonizing UL configured-grant enhancements in NR-U and URLLC introduced in Rel-16 to be applicable for unlicensed spectrum</w:t>
      </w:r>
    </w:p>
    <w:p>
      <w:pPr>
        <w:spacing w:after="180" w:afterLines="50"/>
        <w:rPr>
          <w:rFonts w:hint="default" w:eastAsia="宋体"/>
          <w:lang w:val="en-US" w:eastAsia="zh-CN"/>
        </w:rPr>
      </w:pPr>
      <w:r>
        <w:rPr>
          <w:rFonts w:hint="eastAsia" w:eastAsia="宋体"/>
          <w:lang w:val="en-US" w:eastAsia="zh-CN"/>
        </w:rPr>
        <w:t xml:space="preserve">Based on the guidance listed in RAN1#105-e meeting agenda, this meeting is only to handle topics of CG harmonization of the handling of CG-UCI/CG-DFI/CG autonomous retx and decision between Alt-a/Alt-b for semi-static channel access mode when a UE can operate as UE-initiated COT for both CG and DG. So, in this </w:t>
      </w:r>
      <w:r>
        <w:rPr>
          <w:rFonts w:hint="eastAsia"/>
          <w:lang w:val="en-US" w:eastAsia="zh-CN"/>
        </w:rPr>
        <w:t xml:space="preserve"> contribution, we only analyse the details of the </w:t>
      </w:r>
      <w:r>
        <w:rPr>
          <w:rFonts w:hint="eastAsia" w:eastAsia="宋体"/>
          <w:lang w:val="en-US" w:eastAsia="zh-CN"/>
        </w:rPr>
        <w:t xml:space="preserve">two </w:t>
      </w:r>
      <w:r>
        <w:rPr>
          <w:rFonts w:hint="eastAsia"/>
          <w:lang w:val="en-US" w:eastAsia="zh-CN"/>
        </w:rPr>
        <w:t>issues above.</w:t>
      </w:r>
    </w:p>
    <w:p>
      <w:pPr>
        <w:pStyle w:val="2"/>
        <w:spacing w:before="180"/>
        <w:rPr>
          <w:lang w:val="en-US"/>
        </w:rPr>
      </w:pPr>
      <w:r>
        <w:rPr>
          <w:rFonts w:hint="eastAsia"/>
          <w:lang w:val="en-US"/>
        </w:rPr>
        <w:t>UE-initiated COT for FBE</w:t>
      </w:r>
    </w:p>
    <w:p>
      <w:pPr>
        <w:spacing w:after="180" w:afterLines="50"/>
        <w:textAlignment w:val="center"/>
        <w:rPr>
          <w:lang w:val="en-US" w:eastAsia="zh-CN"/>
        </w:rPr>
      </w:pPr>
      <w:r>
        <w:rPr>
          <w:rFonts w:hint="eastAsia" w:eastAsia="宋体"/>
          <w:i/>
          <w:iCs/>
          <w:lang w:val="en-US" w:eastAsia="zh-CN"/>
        </w:rPr>
        <w:t xml:space="preserve"> </w:t>
      </w:r>
      <w:r>
        <w:rPr>
          <w:rFonts w:hint="eastAsia"/>
          <w:lang w:val="en-US" w:eastAsia="zh-CN"/>
        </w:rPr>
        <w:t>In the following section, we will share our views on decision between Alt-a/Alt-b for semi-static channel access mode when a UE can operate as UE-initiated COT.</w:t>
      </w:r>
    </w:p>
    <w:p>
      <w:pPr>
        <w:spacing w:before="180" w:beforeLines="50" w:after="180" w:afterLines="50"/>
        <w:textAlignment w:val="center"/>
        <w:rPr>
          <w:lang w:val="en-US" w:eastAsia="zh-CN"/>
        </w:rPr>
      </w:pPr>
      <w:r>
        <w:rPr>
          <w:rFonts w:hint="eastAsia"/>
          <w:lang w:val="en-US" w:eastAsia="zh-CN"/>
        </w:rPr>
        <w:t>Two agreements associated with determining the COT of scheduled/configured UL transmission were approved in RAN 1 #104e meeting as following:</w:t>
      </w:r>
    </w:p>
    <w:p>
      <w:pPr>
        <w:rPr>
          <w:rFonts w:cs="Times"/>
        </w:rPr>
      </w:pPr>
      <w:r>
        <w:rPr>
          <w:rFonts w:cs="Times"/>
          <w:highlight w:val="green"/>
        </w:rPr>
        <w:t>Agreement:</w:t>
      </w:r>
    </w:p>
    <w:p>
      <w:pPr>
        <w:rPr>
          <w:lang w:eastAsia="ko-KR"/>
        </w:rPr>
      </w:pPr>
      <w:r>
        <w:rPr>
          <w:lang w:eastAsia="ko-KR"/>
        </w:rPr>
        <w:t>In semi-static channel access mode when a UE can operate as UE-initiated COT,</w:t>
      </w:r>
    </w:p>
    <w:p>
      <w:pPr>
        <w:numPr>
          <w:ilvl w:val="0"/>
          <w:numId w:val="4"/>
        </w:numPr>
        <w:rPr>
          <w:lang w:val="en-US" w:eastAsia="ko-KR"/>
        </w:rPr>
      </w:pPr>
      <w:r>
        <w:rPr>
          <w:lang w:eastAsia="ko-KR"/>
        </w:rPr>
        <w:t>Select one of the following alternatives to determine whether a configured UL transmission that is aligned with a UE FFP boundary and ends before the idle period of that UE FFP, is based on UE-initiated COT or sharing a gNB-initiated COT:</w:t>
      </w:r>
    </w:p>
    <w:p>
      <w:pPr>
        <w:numPr>
          <w:ilvl w:val="1"/>
          <w:numId w:val="4"/>
        </w:numPr>
        <w:rPr>
          <w:lang w:eastAsia="zh-CN"/>
        </w:rPr>
      </w:pPr>
      <w:r>
        <w:rPr>
          <w:b/>
          <w:bCs/>
          <w:lang w:eastAsia="ko-KR"/>
        </w:rPr>
        <w:t>Alt-a:</w:t>
      </w:r>
      <w:r>
        <w:rPr>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pPr>
        <w:numPr>
          <w:ilvl w:val="1"/>
          <w:numId w:val="4"/>
        </w:numPr>
        <w:spacing w:after="0"/>
        <w:textAlignment w:val="auto"/>
        <w:rPr>
          <w:lang w:val="en-US" w:eastAsia="zh-CN"/>
        </w:rPr>
      </w:pPr>
      <w:r>
        <w:rPr>
          <w:b/>
          <w:bCs/>
          <w:lang w:eastAsia="ko-KR"/>
        </w:rPr>
        <w:t>Alt-b:</w:t>
      </w:r>
      <w:r>
        <w:rPr>
          <w:lang w:eastAsia="ko-KR"/>
        </w:rPr>
        <w:t xml:space="preserve"> The UE assumes that the configured UL transmission corresponds to UE-initiated COT.</w:t>
      </w:r>
    </w:p>
    <w:p>
      <w:pPr>
        <w:rPr>
          <w:rFonts w:cs="Times"/>
        </w:rPr>
      </w:pPr>
      <w:r>
        <w:rPr>
          <w:rFonts w:cs="Times"/>
          <w:highlight w:val="green"/>
        </w:rPr>
        <w:t>Agreement:</w:t>
      </w:r>
    </w:p>
    <w:p>
      <w:pPr>
        <w:rPr>
          <w:rFonts w:cs="Times"/>
          <w:lang w:eastAsia="ko-KR"/>
        </w:rPr>
      </w:pPr>
      <w:bookmarkStart w:id="1" w:name="OLE_LINK4"/>
      <w:r>
        <w:rPr>
          <w:rFonts w:cs="Times"/>
          <w:lang w:eastAsia="ko-KR"/>
        </w:rPr>
        <w:t>In semi-static channel access mode when a UE can operate as initiating device</w:t>
      </w:r>
      <w:bookmarkEnd w:id="1"/>
      <w:r>
        <w:rPr>
          <w:rFonts w:cs="Times"/>
          <w:lang w:eastAsia="ko-KR"/>
        </w:rPr>
        <w:t>,</w:t>
      </w:r>
    </w:p>
    <w:p>
      <w:pPr>
        <w:numPr>
          <w:ilvl w:val="0"/>
          <w:numId w:val="5"/>
        </w:numPr>
        <w:rPr>
          <w:rFonts w:cs="Times"/>
          <w:lang w:eastAsia="ko-KR"/>
        </w:rPr>
      </w:pPr>
      <w:r>
        <w:rPr>
          <w:rFonts w:cs="Times"/>
          <w:lang w:eastAsia="ko-KR"/>
        </w:rPr>
        <w:t>Select one of the following alternatives to determine whether a scheduled UL transmission is based on UE-initiated COT or sharing a gNB-initiated COT:</w:t>
      </w:r>
    </w:p>
    <w:p>
      <w:pPr>
        <w:numPr>
          <w:ilvl w:val="0"/>
          <w:numId w:val="6"/>
        </w:numPr>
        <w:ind w:left="1080"/>
        <w:rPr>
          <w:rFonts w:cs="Times"/>
          <w:lang w:eastAsia="zh-CN"/>
        </w:rPr>
      </w:pPr>
      <w:r>
        <w:rPr>
          <w:rFonts w:cs="Times"/>
          <w:lang w:eastAsia="ko-KR"/>
        </w:rPr>
        <w:t>Alt-a: Determination based on the content in the scheduling DCI</w:t>
      </w:r>
    </w:p>
    <w:p>
      <w:pPr>
        <w:numPr>
          <w:ilvl w:val="1"/>
          <w:numId w:val="6"/>
        </w:numPr>
        <w:ind w:left="1800"/>
        <w:rPr>
          <w:rFonts w:cs="Times"/>
          <w:lang w:eastAsia="zh-CN"/>
        </w:rPr>
      </w:pPr>
      <w:r>
        <w:rPr>
          <w:rFonts w:cs="Times"/>
          <w:lang w:eastAsia="zh-CN"/>
        </w:rPr>
        <w:t>FFS on whether the corresponding field(s) can be absent in DCI</w:t>
      </w:r>
    </w:p>
    <w:p>
      <w:pPr>
        <w:numPr>
          <w:ilvl w:val="2"/>
          <w:numId w:val="6"/>
        </w:numPr>
        <w:ind w:left="2520"/>
        <w:rPr>
          <w:rFonts w:cs="Times"/>
          <w:lang w:eastAsia="zh-CN"/>
        </w:rPr>
      </w:pPr>
      <w:r>
        <w:rPr>
          <w:rFonts w:cs="Times"/>
        </w:rPr>
        <w:t>If absent, d</w:t>
      </w:r>
      <w:r>
        <w:rPr>
          <w:rFonts w:cs="Times"/>
          <w:lang w:eastAsia="zh-CN"/>
        </w:rPr>
        <w:t>etermination based on the rules applied for configured UL transmissions</w:t>
      </w:r>
      <w:r>
        <w:rPr>
          <w:rFonts w:cs="Times"/>
        </w:rPr>
        <w:t xml:space="preserve"> is applied</w:t>
      </w:r>
    </w:p>
    <w:p>
      <w:pPr>
        <w:numPr>
          <w:ilvl w:val="1"/>
          <w:numId w:val="6"/>
        </w:numPr>
        <w:spacing w:after="0"/>
        <w:ind w:left="1800"/>
        <w:textAlignment w:val="auto"/>
        <w:rPr>
          <w:lang w:val="en-US" w:eastAsia="zh-CN"/>
        </w:rPr>
      </w:pPr>
      <w:r>
        <w:rPr>
          <w:rFonts w:cs="Times"/>
          <w:lang w:eastAsia="zh-CN"/>
        </w:rPr>
        <w:t>FFS whether/how to handle the case when the gNB schedules an UL transmission in the next gNB’s FFP period</w:t>
      </w:r>
    </w:p>
    <w:p>
      <w:pPr>
        <w:numPr>
          <w:ilvl w:val="0"/>
          <w:numId w:val="6"/>
        </w:numPr>
        <w:spacing w:after="100" w:afterAutospacing="1"/>
        <w:ind w:left="1083" w:hanging="363"/>
        <w:textAlignment w:val="auto"/>
        <w:rPr>
          <w:lang w:val="en-US" w:eastAsia="zh-CN"/>
        </w:rPr>
      </w:pPr>
      <w:r>
        <w:rPr>
          <w:rFonts w:cs="Times"/>
          <w:lang w:eastAsia="zh-CN"/>
        </w:rPr>
        <w:t>Alt-b: Determination based on the rules applied for a configured UL transmission</w:t>
      </w:r>
    </w:p>
    <w:p>
      <w:pPr>
        <w:spacing w:before="180" w:beforeLines="50" w:after="180" w:afterLines="50"/>
        <w:textAlignment w:val="center"/>
        <w:rPr>
          <w:lang w:val="en-US" w:eastAsia="zh-CN"/>
        </w:rPr>
      </w:pPr>
      <w:r>
        <w:rPr>
          <w:rFonts w:hint="eastAsia"/>
          <w:lang w:val="en-US" w:eastAsia="zh-CN"/>
        </w:rPr>
        <w:t xml:space="preserve">In order to support </w:t>
      </w:r>
      <w:r>
        <w:rPr>
          <w:rFonts w:hint="eastAsia" w:eastAsia="宋体"/>
          <w:lang w:val="en-US" w:eastAsia="zh-CN"/>
        </w:rPr>
        <w:t>Alt-b for configured UL transmission and Alt-a with UE-initiated COT enabled for scheduled UL transmission</w:t>
      </w:r>
      <w:r>
        <w:rPr>
          <w:rFonts w:hint="eastAsia"/>
          <w:lang w:val="en-US" w:eastAsia="zh-CN"/>
        </w:rPr>
        <w:t>, a UE shall initiate a COT and the gNB shall reserve resource in the idle period of UE</w:t>
      </w:r>
      <w:r>
        <w:rPr>
          <w:lang w:val="en-US" w:eastAsia="zh-CN"/>
        </w:rPr>
        <w:t>’</w:t>
      </w:r>
      <w:r>
        <w:rPr>
          <w:rFonts w:hint="eastAsia"/>
          <w:lang w:val="en-US" w:eastAsia="zh-CN"/>
        </w:rPr>
        <w:t xml:space="preserve">s FFP for the UE to initiate COT when a configured/scheduled UL transmission aligned with a UE FFP boundary and ends before the idle period of that UE FFP. If the resource reversed by gNB cannot be guaranteed, </w:t>
      </w:r>
      <w:r>
        <w:rPr>
          <w:lang w:val="en-US" w:eastAsia="zh-CN"/>
        </w:rPr>
        <w:t>“</w:t>
      </w:r>
      <w:r>
        <w:rPr>
          <w:rFonts w:hint="eastAsia"/>
          <w:lang w:val="en-US" w:eastAsia="zh-CN"/>
        </w:rPr>
        <w:t>a UE shall initiate a COT</w:t>
      </w:r>
      <w:r>
        <w:rPr>
          <w:lang w:val="en-US" w:eastAsia="zh-CN"/>
        </w:rPr>
        <w:t>”</w:t>
      </w:r>
      <w:r>
        <w:rPr>
          <w:rFonts w:hint="eastAsia"/>
          <w:lang w:val="en-US" w:eastAsia="zh-CN"/>
        </w:rPr>
        <w:t xml:space="preserve"> is meaningless. If resource is not reversed by gNB in the idle period of UE FFP as Figure 1, </w:t>
      </w:r>
      <w:r>
        <w:rPr>
          <w:lang w:val="en-US" w:eastAsia="zh-CN"/>
        </w:rPr>
        <w:t>“</w:t>
      </w:r>
      <w:r>
        <w:rPr>
          <w:rFonts w:hint="eastAsia"/>
          <w:lang w:val="en-US" w:eastAsia="zh-CN"/>
        </w:rPr>
        <w:t>a UE shall initiate a COT</w:t>
      </w:r>
      <w:r>
        <w:rPr>
          <w:lang w:val="en-US" w:eastAsia="zh-CN"/>
        </w:rPr>
        <w:t>”</w:t>
      </w:r>
      <w:r>
        <w:rPr>
          <w:rFonts w:hint="eastAsia"/>
          <w:lang w:val="en-US" w:eastAsia="zh-CN"/>
        </w:rPr>
        <w:t xml:space="preserve"> will fail but the UE can share the COT of gNB without  LBT if the UL transmission (include DG-PUSCH and CG-PUSCH) starting at the beginning of the UE FFP. Therefore, not reversing resource for UE-initiated COT may lead to a UE fail to initiate COT and bring latency for UL transmission. </w:t>
      </w:r>
    </w:p>
    <w:p>
      <w:pPr>
        <w:spacing w:before="180" w:beforeLines="50" w:after="180" w:afterLines="50"/>
        <w:jc w:val="center"/>
        <w:textAlignment w:val="center"/>
        <w:rPr>
          <w:sz w:val="21"/>
        </w:rPr>
      </w:pPr>
      <w:r>
        <w:rPr>
          <w:sz w:val="21"/>
        </w:rPr>
        <w:object>
          <v:shape id="_x0000_i1025" o:spt="75" type="#_x0000_t75" style="height:153pt;width:414pt;" o:ole="t" filled="f" o:preferrelative="t" stroked="f" coordsize="21600,21600">
            <v:path/>
            <v:fill on="f" focussize="0,0"/>
            <v:stroke on="f" joinstyle="miter"/>
            <v:imagedata r:id="rId7" o:title=""/>
            <o:lock v:ext="edit" aspectratio="t"/>
            <w10:wrap type="none"/>
            <w10:anchorlock/>
          </v:shape>
          <o:OLEObject Type="Embed" ProgID="Visio.Drawing.11" ShapeID="_x0000_i1025" DrawAspect="Content" ObjectID="_1468075725" r:id="rId6">
            <o:LockedField>false</o:LockedField>
          </o:OLEObject>
        </w:object>
      </w:r>
    </w:p>
    <w:p>
      <w:pPr>
        <w:numPr>
          <w:ilvl w:val="255"/>
          <w:numId w:val="0"/>
        </w:numPr>
        <w:spacing w:after="180" w:afterLines="50"/>
        <w:jc w:val="center"/>
        <w:textAlignment w:val="center"/>
        <w:rPr>
          <w:lang w:val="en-US" w:eastAsia="zh-CN"/>
        </w:rPr>
      </w:pPr>
      <w:r>
        <w:rPr>
          <w:rFonts w:hint="eastAsia"/>
          <w:lang w:val="en-US" w:eastAsia="zh-CN"/>
        </w:rPr>
        <w:t>Figure 1  Example for UE-initiated COT without reserved resource</w:t>
      </w:r>
    </w:p>
    <w:p>
      <w:pPr>
        <w:spacing w:before="180" w:beforeLines="50" w:after="180" w:afterLines="50"/>
        <w:textAlignment w:val="center"/>
        <w:rPr>
          <w:rFonts w:hint="default" w:eastAsia="宋体"/>
          <w:lang w:val="en-US" w:eastAsia="zh-CN"/>
        </w:rPr>
      </w:pPr>
      <w:r>
        <w:rPr>
          <w:rFonts w:hint="eastAsia" w:eastAsia="宋体"/>
          <w:lang w:val="en-US" w:eastAsia="zh-CN"/>
        </w:rPr>
        <w:t>Moreover, Alt-a for scheduled UL transmission still has two FFSs to be resolved and Alt-b for configured UL transmission may cause the gNB to misunderstand the COT used for UL transmission when the first UL transmission at the starting of the UE FFP is missed and the UL transmission is within the valid COT of gNB. The agreement on cross-FFP scheduling only resolves whether to allow cross-FFP scheduling, but Alt-a for scheduled UL transmission cannot work when cross-FFP scheduling occurs. Therefore, Alt-a for scheduled UL transmission still needs to solve the problems involved the FFS.</w:t>
      </w:r>
    </w:p>
    <w:p>
      <w:pPr>
        <w:spacing w:before="180" w:beforeLines="50" w:after="180" w:afterLines="50"/>
        <w:textAlignment w:val="center"/>
        <w:rPr>
          <w:lang w:val="en-US" w:eastAsia="zh-CN"/>
        </w:rPr>
      </w:pPr>
      <w:r>
        <w:rPr>
          <w:rFonts w:hint="eastAsia" w:eastAsia="宋体"/>
          <w:lang w:val="en-US" w:eastAsia="zh-CN"/>
        </w:rPr>
        <w:t xml:space="preserve">Therefore, predefined rules similar to Alt-a for configured UL transmission can be applied to schedule/configured UL transmission at the same time </w:t>
      </w:r>
      <w:r>
        <w:rPr>
          <w:rFonts w:cs="Times"/>
          <w:lang w:eastAsia="ko-KR"/>
        </w:rPr>
        <w:t>when a UE can operate as initiating device</w:t>
      </w:r>
      <w:r>
        <w:rPr>
          <w:rFonts w:hint="eastAsia" w:eastAsia="宋体" w:cs="Times"/>
          <w:lang w:val="en-US" w:eastAsia="zh-CN"/>
        </w:rPr>
        <w:t xml:space="preserve"> i</w:t>
      </w:r>
      <w:r>
        <w:rPr>
          <w:rFonts w:cs="Times"/>
          <w:lang w:eastAsia="ko-KR"/>
        </w:rPr>
        <w:t>n semi-static channel access mode</w:t>
      </w:r>
      <w:r>
        <w:rPr>
          <w:rFonts w:hint="eastAsia" w:eastAsia="宋体"/>
          <w:lang w:val="en-US" w:eastAsia="zh-CN"/>
        </w:rPr>
        <w:t xml:space="preserve">. </w:t>
      </w:r>
    </w:p>
    <w:p>
      <w:pPr>
        <w:spacing w:after="180" w:afterLines="50"/>
        <w:jc w:val="left"/>
        <w:textAlignment w:val="center"/>
        <w:rPr>
          <w:i/>
          <w:iCs/>
          <w:lang w:val="en-US" w:eastAsia="zh-CN"/>
        </w:rPr>
      </w:pPr>
      <w:r>
        <w:rPr>
          <w:rFonts w:hint="eastAsia"/>
          <w:b/>
          <w:bCs/>
          <w:i/>
          <w:iCs/>
          <w:lang w:val="en-US" w:eastAsia="zh-CN"/>
        </w:rPr>
        <w:t xml:space="preserve">Proposal 1: </w:t>
      </w:r>
      <w:r>
        <w:rPr>
          <w:rFonts w:hint="eastAsia"/>
          <w:i/>
          <w:iCs/>
          <w:lang w:val="en-US" w:eastAsia="zh-CN"/>
        </w:rPr>
        <w:t>When a scheduled/configured UL transmission that is aligned with a UE FFP boundary and ends before the idle period of that UE FFP:</w:t>
      </w:r>
    </w:p>
    <w:p>
      <w:pPr>
        <w:numPr>
          <w:ilvl w:val="0"/>
          <w:numId w:val="7"/>
        </w:numPr>
        <w:spacing w:after="0"/>
        <w:ind w:left="600" w:leftChars="290" w:hanging="20" w:hangingChars="10"/>
        <w:jc w:val="left"/>
        <w:textAlignment w:val="center"/>
        <w:rPr>
          <w:rFonts w:eastAsia="宋体"/>
          <w:i/>
          <w:iCs/>
          <w:lang w:val="en-US" w:eastAsia="zh-CN"/>
        </w:rPr>
      </w:pPr>
      <w:r>
        <w:rPr>
          <w:rFonts w:hint="eastAsia"/>
          <w:i/>
          <w:iCs/>
          <w:lang w:val="en-US" w:eastAsia="zh-CN"/>
        </w:rPr>
        <w:t>If the transmission is confined within a gNB FFP before the idle period of that gNB FFP, and the UE has already determined that gNB is initiated that gNB FFP, UE assumes that the scheduled/configured UL transmission corresponds to gNB-initiated COT. </w:t>
      </w:r>
    </w:p>
    <w:p>
      <w:pPr>
        <w:numPr>
          <w:ilvl w:val="0"/>
          <w:numId w:val="7"/>
        </w:numPr>
        <w:spacing w:after="0"/>
        <w:ind w:left="600" w:leftChars="290" w:hanging="20" w:hangingChars="10"/>
        <w:jc w:val="left"/>
        <w:textAlignment w:val="center"/>
        <w:rPr>
          <w:rFonts w:eastAsia="宋体"/>
          <w:i/>
          <w:iCs/>
          <w:lang w:val="en-US" w:eastAsia="zh-CN"/>
        </w:rPr>
      </w:pPr>
      <w:r>
        <w:rPr>
          <w:rFonts w:hint="eastAsia"/>
          <w:i/>
          <w:iCs/>
          <w:lang w:val="en-US" w:eastAsia="zh-CN"/>
        </w:rPr>
        <w:t>Otherwise, UE assumes that the scheduled/configured UL transmission corresponds to UE-initiated COT.</w:t>
      </w:r>
    </w:p>
    <w:p>
      <w:pPr>
        <w:spacing w:after="0"/>
        <w:jc w:val="left"/>
        <w:textAlignment w:val="center"/>
        <w:rPr>
          <w:rFonts w:eastAsia="宋体"/>
          <w:i/>
          <w:iCs/>
          <w:lang w:val="en-US" w:eastAsia="zh-CN"/>
        </w:rPr>
      </w:pPr>
    </w:p>
    <w:p>
      <w:pPr>
        <w:pStyle w:val="2"/>
        <w:tabs>
          <w:tab w:val="clear" w:pos="432"/>
        </w:tabs>
        <w:spacing w:before="180"/>
        <w:rPr>
          <w:lang w:val="en-US"/>
        </w:rPr>
      </w:pPr>
      <w:r>
        <w:rPr>
          <w:rFonts w:hint="eastAsia"/>
          <w:lang w:val="en-US" w:eastAsia="zh-CN"/>
        </w:rPr>
        <w:t>Harmonization of CG-DFI and CG-UCI features for unlicensed</w:t>
      </w:r>
    </w:p>
    <w:p>
      <w:pPr>
        <w:pStyle w:val="4"/>
        <w:rPr>
          <w:rFonts w:hint="eastAsia" w:eastAsia="宋体"/>
          <w:lang w:val="en-US" w:eastAsia="zh-CN"/>
        </w:rPr>
      </w:pPr>
      <w:r>
        <w:rPr>
          <w:rFonts w:hint="eastAsia" w:eastAsia="宋体"/>
          <w:lang w:val="en-US" w:eastAsia="zh-CN"/>
        </w:rPr>
        <w:t xml:space="preserve">About harmonization of CG-DFI and CG-UCI features for unlicensed, the achieved agreements in RAN1#103-e [2] and RAN1#104bis-e [3] are copied below. </w:t>
      </w:r>
    </w:p>
    <w:tbl>
      <w:tblPr>
        <w:tblStyle w:val="28"/>
        <w:tblW w:w="0" w:type="auto"/>
        <w:tblInd w:w="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74" w:type="dxa"/>
          </w:tcPr>
          <w:p>
            <w:pPr>
              <w:widowControl w:val="0"/>
              <w:overflowPunct/>
              <w:autoSpaceDE/>
              <w:autoSpaceDN/>
              <w:adjustRightInd/>
              <w:spacing w:after="180" w:afterLines="50"/>
              <w:textAlignment w:val="auto"/>
              <w:rPr>
                <w:rFonts w:cs="Arial"/>
                <w:b/>
                <w:bCs/>
                <w:color w:val="000000"/>
                <w:highlight w:val="green"/>
                <w:lang w:eastAsia="zh-CN"/>
              </w:rPr>
            </w:pPr>
            <w:r>
              <w:rPr>
                <w:rFonts w:cs="Arial"/>
                <w:b/>
                <w:bCs/>
                <w:color w:val="000000"/>
                <w:highlight w:val="green"/>
                <w:lang w:eastAsia="zh-CN"/>
              </w:rPr>
              <w:t>Agreements (RAN1#103-e):</w:t>
            </w:r>
          </w:p>
          <w:p>
            <w:pPr>
              <w:widowControl w:val="0"/>
              <w:overflowPunct/>
              <w:autoSpaceDE/>
              <w:autoSpaceDN/>
              <w:adjustRightInd/>
              <w:spacing w:after="0"/>
              <w:textAlignment w:val="auto"/>
              <w:rPr>
                <w:rFonts w:cs="Arial"/>
                <w:color w:val="000000"/>
              </w:rPr>
            </w:pPr>
            <w:r>
              <w:rPr>
                <w:rFonts w:cs="Arial"/>
                <w:color w:val="000000"/>
              </w:rPr>
              <w:t>Down-select one of the following options (target RAN1#104-e):</w:t>
            </w:r>
          </w:p>
          <w:p>
            <w:pPr>
              <w:widowControl w:val="0"/>
              <w:numPr>
                <w:ilvl w:val="0"/>
                <w:numId w:val="8"/>
              </w:numPr>
              <w:overflowPunct/>
              <w:autoSpaceDE/>
              <w:autoSpaceDN/>
              <w:adjustRightInd/>
              <w:spacing w:after="0"/>
              <w:textAlignment w:val="auto"/>
              <w:rPr>
                <w:rFonts w:cs="Arial"/>
                <w:color w:val="000000"/>
              </w:rPr>
            </w:pPr>
            <w:r>
              <w:rPr>
                <w:rFonts w:cs="Arial"/>
                <w:b/>
                <w:bCs/>
                <w:color w:val="000000"/>
              </w:rPr>
              <w:t>Option 1:</w:t>
            </w:r>
            <w:r>
              <w:rPr>
                <w:rFonts w:cs="Arial"/>
                <w:color w:val="000000"/>
              </w:rPr>
              <w:t xml:space="preserve"> Both “CG-UCI based procedures” and “CG-DFI based procedures” are enabled or disabled for unlicensed using one RRC parameter i.e. </w:t>
            </w:r>
            <w:r>
              <w:rPr>
                <w:rFonts w:cs="Arial"/>
                <w:i/>
                <w:iCs/>
                <w:color w:val="000000"/>
              </w:rPr>
              <w:t>cg-RetransmissionTimer-r16</w:t>
            </w:r>
            <w:r>
              <w:rPr>
                <w:rFonts w:cs="Arial"/>
                <w:color w:val="000000"/>
              </w:rPr>
              <w:t>.</w:t>
            </w:r>
          </w:p>
          <w:p>
            <w:pPr>
              <w:widowControl w:val="0"/>
              <w:numPr>
                <w:ilvl w:val="0"/>
                <w:numId w:val="8"/>
              </w:numPr>
              <w:overflowPunct/>
              <w:autoSpaceDE/>
              <w:autoSpaceDN/>
              <w:adjustRightInd/>
              <w:spacing w:after="0"/>
              <w:textAlignment w:val="auto"/>
              <w:rPr>
                <w:rFonts w:cs="Arial"/>
                <w:color w:val="000000"/>
              </w:rPr>
            </w:pPr>
            <w:r>
              <w:rPr>
                <w:rFonts w:cs="Arial"/>
                <w:b/>
                <w:bCs/>
                <w:color w:val="000000"/>
              </w:rPr>
              <w:t>Option 2-a:</w:t>
            </w:r>
            <w:r>
              <w:rPr>
                <w:rFonts w:cs="Arial"/>
                <w:color w:val="000000"/>
              </w:rPr>
              <w:t xml:space="preserve"> “CG-UCI based procedures” and “CG-DFI based procedures” are independently enabled or disabled for unlicensed using respective RRC parameter, i.e. new parameter X and</w:t>
            </w:r>
            <w:r>
              <w:rPr>
                <w:rFonts w:cs="Arial"/>
                <w:i/>
                <w:iCs/>
                <w:color w:val="000000"/>
              </w:rPr>
              <w:t xml:space="preserve"> cg-RetransmissionTimer-r16, </w:t>
            </w:r>
            <w:r>
              <w:rPr>
                <w:rFonts w:cs="Arial"/>
                <w:color w:val="000000"/>
              </w:rPr>
              <w:t>respectively.</w:t>
            </w:r>
          </w:p>
          <w:p>
            <w:pPr>
              <w:widowControl w:val="0"/>
              <w:numPr>
                <w:ilvl w:val="0"/>
                <w:numId w:val="8"/>
              </w:numPr>
              <w:overflowPunct/>
              <w:autoSpaceDE/>
              <w:autoSpaceDN/>
              <w:adjustRightInd/>
              <w:spacing w:after="0"/>
              <w:textAlignment w:val="auto"/>
              <w:rPr>
                <w:rFonts w:cs="Arial"/>
                <w:color w:val="000000"/>
              </w:rPr>
            </w:pPr>
            <w:r>
              <w:rPr>
                <w:rFonts w:cs="Arial"/>
                <w:b/>
                <w:bCs/>
                <w:color w:val="000000"/>
              </w:rPr>
              <w:t>Option 2-b:</w:t>
            </w:r>
            <w:r>
              <w:rPr>
                <w:rFonts w:cs="Arial"/>
                <w:color w:val="000000"/>
              </w:rPr>
              <w:t xml:space="preserve"> “CG-UCI based procedures” and “CG-DFI based procedures” are independently enabled or disabled for unlicensed using respective RRC parameter, i.e. new parameter X and new parameter Y, respectively, where X and Y are different from</w:t>
            </w:r>
            <w:r>
              <w:rPr>
                <w:rFonts w:cs="Arial"/>
                <w:i/>
                <w:iCs/>
                <w:color w:val="000000"/>
              </w:rPr>
              <w:t xml:space="preserve"> cg-RetransmissionTimer-r16.</w:t>
            </w:r>
          </w:p>
          <w:p>
            <w:pPr>
              <w:widowControl w:val="0"/>
              <w:numPr>
                <w:ilvl w:val="0"/>
                <w:numId w:val="8"/>
              </w:numPr>
              <w:overflowPunct/>
              <w:autoSpaceDE/>
              <w:autoSpaceDN/>
              <w:adjustRightInd/>
              <w:spacing w:after="0"/>
              <w:textAlignment w:val="auto"/>
              <w:rPr>
                <w:rFonts w:cs="Arial"/>
                <w:i/>
                <w:iCs/>
                <w:color w:val="000000"/>
              </w:rPr>
            </w:pPr>
            <w:r>
              <w:rPr>
                <w:rFonts w:cs="Arial"/>
                <w:b/>
                <w:bCs/>
                <w:color w:val="000000"/>
              </w:rPr>
              <w:t>Option 3:</w:t>
            </w:r>
            <w:r>
              <w:rPr>
                <w:rFonts w:cs="Arial"/>
                <w:color w:val="000000"/>
              </w:rPr>
              <w:t xml:space="preserve"> CG-UCI based procedures are supported for unlicensed. CG-DFI based procedures are enabled or disabled for unlicensed using one RRC parameter</w:t>
            </w:r>
            <w:r>
              <w:rPr>
                <w:rFonts w:cs="Arial"/>
                <w:i/>
                <w:iCs/>
                <w:color w:val="000000"/>
              </w:rPr>
              <w:t xml:space="preserve"> i.e. cg-RetransmissionTimer-r16</w:t>
            </w:r>
          </w:p>
          <w:p>
            <w:pPr>
              <w:widowControl w:val="0"/>
              <w:numPr>
                <w:ilvl w:val="0"/>
                <w:numId w:val="8"/>
              </w:numPr>
              <w:overflowPunct/>
              <w:autoSpaceDE/>
              <w:autoSpaceDN/>
              <w:adjustRightInd/>
              <w:spacing w:after="0"/>
              <w:textAlignment w:val="auto"/>
              <w:rPr>
                <w:rFonts w:cs="Arial"/>
                <w:color w:val="000000"/>
              </w:rPr>
            </w:pPr>
            <w:r>
              <w:rPr>
                <w:rFonts w:cs="Arial"/>
                <w:color w:val="000000"/>
              </w:rPr>
              <w:t>Note: Procedures based on CG-UCI rely on UE including CG-UCI in CG PUSCH at least as in Rel-16 where the values of the respective fields of CG-UCI are decided by UE.</w:t>
            </w:r>
          </w:p>
          <w:p>
            <w:pPr>
              <w:widowControl w:val="0"/>
              <w:overflowPunct/>
              <w:autoSpaceDE/>
              <w:autoSpaceDN/>
              <w:adjustRightInd/>
              <w:spacing w:after="0"/>
              <w:textAlignment w:val="auto"/>
              <w:outlineLvl w:val="0"/>
              <w:rPr>
                <w:rFonts w:cs="Arial"/>
                <w:color w:val="000000"/>
              </w:rPr>
            </w:pPr>
            <w:r>
              <w:rPr>
                <w:rFonts w:cs="Arial"/>
                <w:color w:val="000000"/>
              </w:rPr>
              <w:t>Note: Procedures based on CG-DFI rely on automatic re-transmission on CG configuration and reception of CG downlink feedback information (DFI) in DCI for re-transmissions.</w:t>
            </w:r>
          </w:p>
          <w:p>
            <w:pPr>
              <w:widowControl w:val="0"/>
              <w:overflowPunct/>
              <w:autoSpaceDE/>
              <w:autoSpaceDN/>
              <w:adjustRightInd/>
              <w:spacing w:after="0"/>
              <w:textAlignment w:val="auto"/>
              <w:outlineLvl w:val="0"/>
              <w:rPr>
                <w:rFonts w:cs="Arial"/>
                <w:color w:val="000000"/>
              </w:rPr>
            </w:pPr>
          </w:p>
          <w:p>
            <w:pPr>
              <w:widowControl w:val="0"/>
              <w:overflowPunct/>
              <w:autoSpaceDE/>
              <w:autoSpaceDN/>
              <w:adjustRightInd/>
              <w:spacing w:after="180" w:afterLines="50"/>
              <w:textAlignment w:val="auto"/>
              <w:rPr>
                <w:rFonts w:cs="Arial"/>
                <w:b/>
                <w:bCs/>
                <w:color w:val="000000"/>
                <w:highlight w:val="green"/>
                <w:lang w:eastAsia="zh-CN"/>
              </w:rPr>
            </w:pPr>
            <w:r>
              <w:rPr>
                <w:rFonts w:cs="Arial"/>
                <w:b/>
                <w:bCs/>
                <w:color w:val="000000"/>
                <w:highlight w:val="green"/>
                <w:lang w:eastAsia="zh-CN"/>
              </w:rPr>
              <w:t>Agreements (RAN1#10</w:t>
            </w:r>
            <w:r>
              <w:rPr>
                <w:rFonts w:hint="eastAsia" w:cs="Arial"/>
                <w:b/>
                <w:bCs/>
                <w:color w:val="000000"/>
                <w:highlight w:val="green"/>
                <w:lang w:val="en-US" w:eastAsia="zh-CN"/>
              </w:rPr>
              <w:t>4bis</w:t>
            </w:r>
            <w:r>
              <w:rPr>
                <w:rFonts w:cs="Arial"/>
                <w:b/>
                <w:bCs/>
                <w:color w:val="000000"/>
                <w:highlight w:val="green"/>
                <w:lang w:eastAsia="zh-CN"/>
              </w:rPr>
              <w:t>-e):</w:t>
            </w:r>
          </w:p>
          <w:p>
            <w:pPr>
              <w:widowControl w:val="0"/>
              <w:numPr>
                <w:ilvl w:val="0"/>
                <w:numId w:val="8"/>
              </w:numPr>
              <w:overflowPunct/>
              <w:autoSpaceDE/>
              <w:autoSpaceDN/>
              <w:adjustRightInd/>
              <w:spacing w:after="0"/>
              <w:textAlignment w:val="auto"/>
              <w:rPr>
                <w:rFonts w:cs="Arial"/>
                <w:color w:val="000000"/>
              </w:rPr>
            </w:pPr>
            <w:r>
              <w:rPr>
                <w:rFonts w:ascii="Times New Roman" w:hAnsi="Times New Roman" w:eastAsia="Times New Roman" w:cs="Arial"/>
                <w:color w:val="000000"/>
                <w:lang w:eastAsia="ja-JP"/>
              </w:rPr>
              <w:t>Option 2-b and option 3 are not considered further for the agreement in RAN1#103-e regarding CG harmonization</w:t>
            </w:r>
          </w:p>
          <w:p>
            <w:pPr>
              <w:widowControl w:val="0"/>
              <w:overflowPunct/>
              <w:autoSpaceDE/>
              <w:autoSpaceDN/>
              <w:adjustRightInd/>
              <w:spacing w:after="0"/>
              <w:textAlignment w:val="auto"/>
              <w:outlineLvl w:val="0"/>
              <w:rPr>
                <w:rFonts w:cs="Arial"/>
                <w:color w:val="000000"/>
                <w:lang w:val="en-US" w:eastAsia="zh-CN"/>
              </w:rPr>
            </w:pPr>
          </w:p>
        </w:tc>
      </w:tr>
    </w:tbl>
    <w:p>
      <w:pPr>
        <w:pStyle w:val="4"/>
        <w:keepNext w:val="0"/>
        <w:keepLines w:val="0"/>
        <w:pageBreakBefore w:val="0"/>
        <w:widowControl/>
        <w:kinsoku/>
        <w:wordWrap/>
        <w:overflowPunct/>
        <w:topLinePunct w:val="0"/>
        <w:autoSpaceDE/>
        <w:autoSpaceDN/>
        <w:bidi w:val="0"/>
        <w:adjustRightInd/>
        <w:snapToGrid w:val="0"/>
        <w:spacing w:before="120"/>
        <w:textAlignment w:val="auto"/>
        <w:rPr>
          <w:rFonts w:hint="eastAsia" w:eastAsia="宋体"/>
          <w:lang w:val="en-US" w:eastAsia="zh-CN"/>
        </w:rPr>
      </w:pPr>
      <w:r>
        <w:rPr>
          <w:rFonts w:hint="eastAsia" w:eastAsia="宋体"/>
          <w:lang w:val="en-US" w:eastAsia="zh-CN"/>
        </w:rPr>
        <w:t xml:space="preserve">In this section, we further analyse which feature combination should be supported for harmonization of CG features for Rel-16 URLLC and Rel-16 NR-U based on Option 1 and Option 2-a as shown in Table 1.  </w:t>
      </w:r>
    </w:p>
    <w:p>
      <w:pPr>
        <w:spacing w:before="120"/>
        <w:jc w:val="center"/>
        <w:rPr>
          <w:rFonts w:hint="default" w:eastAsia="宋体"/>
          <w:lang w:val="en-US" w:eastAsia="zh-CN"/>
        </w:rPr>
      </w:pPr>
      <w:r>
        <w:rPr>
          <w:rFonts w:hint="eastAsia" w:eastAsia="宋体"/>
          <w:lang w:val="en-US" w:eastAsia="zh-CN"/>
        </w:rPr>
        <w:t>Table 1 Feature combinations for Option 1 and Option 2-a</w:t>
      </w:r>
    </w:p>
    <w:p>
      <w:pPr>
        <w:pStyle w:val="108"/>
        <w:spacing w:after="0"/>
        <w:ind w:firstLine="800" w:firstLineChars="400"/>
        <w:jc w:val="left"/>
        <w:rPr>
          <w:bCs/>
          <w:lang w:eastAsia="zh-CN"/>
        </w:rPr>
      </w:pPr>
      <w:r>
        <w:rPr>
          <w:bCs/>
          <w:lang w:eastAsia="zh-CN"/>
        </w:rPr>
        <w:t>(Note: 0 means the feature is disabled/not configured, 1 means enabled/configured)</w:t>
      </w:r>
    </w:p>
    <w:tbl>
      <w:tblPr>
        <w:tblStyle w:val="27"/>
        <w:tblW w:w="91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1"/>
        <w:gridCol w:w="2587"/>
        <w:gridCol w:w="971"/>
        <w:gridCol w:w="948"/>
        <w:gridCol w:w="27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vAlign w:val="center"/>
          </w:tcPr>
          <w:p>
            <w:pPr>
              <w:jc w:val="center"/>
              <w:rPr>
                <w:bCs/>
                <w:lang w:val="en-US" w:eastAsia="zh-CN"/>
              </w:rPr>
            </w:pPr>
            <w:r>
              <w:rPr>
                <w:rFonts w:hint="eastAsia"/>
                <w:bCs/>
                <w:lang w:val="en-US" w:eastAsia="zh-CN"/>
              </w:rPr>
              <w:t>Combination cases</w:t>
            </w:r>
          </w:p>
        </w:tc>
        <w:tc>
          <w:tcPr>
            <w:tcW w:w="2587" w:type="dxa"/>
            <w:vAlign w:val="center"/>
          </w:tcPr>
          <w:p>
            <w:pPr>
              <w:jc w:val="center"/>
              <w:rPr>
                <w:bCs/>
                <w:lang w:val="en-US" w:eastAsia="zh-CN"/>
              </w:rPr>
            </w:pPr>
            <w:r>
              <w:rPr>
                <w:rFonts w:hint="eastAsia"/>
                <w:bCs/>
                <w:lang w:val="en-US" w:eastAsia="zh-CN"/>
              </w:rPr>
              <w:t>Applicable options</w:t>
            </w:r>
          </w:p>
        </w:tc>
        <w:tc>
          <w:tcPr>
            <w:tcW w:w="971" w:type="dxa"/>
            <w:vAlign w:val="center"/>
          </w:tcPr>
          <w:p>
            <w:pPr>
              <w:jc w:val="center"/>
              <w:rPr>
                <w:bCs/>
                <w:lang w:eastAsia="zh-CN"/>
              </w:rPr>
            </w:pPr>
            <w:r>
              <w:rPr>
                <w:rFonts w:hint="eastAsia"/>
                <w:bCs/>
                <w:lang w:eastAsia="zh-CN"/>
              </w:rPr>
              <w:t>C</w:t>
            </w:r>
            <w:r>
              <w:rPr>
                <w:bCs/>
                <w:lang w:eastAsia="zh-CN"/>
              </w:rPr>
              <w:t>G-UCI</w:t>
            </w:r>
          </w:p>
        </w:tc>
        <w:tc>
          <w:tcPr>
            <w:tcW w:w="948" w:type="dxa"/>
            <w:vAlign w:val="center"/>
          </w:tcPr>
          <w:p>
            <w:pPr>
              <w:jc w:val="center"/>
              <w:rPr>
                <w:bCs/>
                <w:lang w:eastAsia="zh-CN"/>
              </w:rPr>
            </w:pPr>
            <w:r>
              <w:rPr>
                <w:rFonts w:hint="eastAsia"/>
                <w:bCs/>
                <w:lang w:eastAsia="zh-CN"/>
              </w:rPr>
              <w:t>C</w:t>
            </w:r>
            <w:r>
              <w:rPr>
                <w:bCs/>
                <w:lang w:eastAsia="zh-CN"/>
              </w:rPr>
              <w:t>G-DFI</w:t>
            </w:r>
          </w:p>
        </w:tc>
        <w:tc>
          <w:tcPr>
            <w:tcW w:w="2714" w:type="dxa"/>
            <w:vAlign w:val="center"/>
          </w:tcPr>
          <w:p>
            <w:pPr>
              <w:jc w:val="center"/>
              <w:rPr>
                <w:bCs/>
                <w:lang w:eastAsia="zh-CN"/>
              </w:rPr>
            </w:pPr>
            <w:r>
              <w:rPr>
                <w:bCs/>
                <w:lang w:eastAsia="zh-CN"/>
              </w:rPr>
              <w:t>cg-RetransmissionTimer-r16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val="en-US" w:eastAsia="zh-CN"/>
              </w:rPr>
            </w:pPr>
            <w:r>
              <w:rPr>
                <w:rFonts w:hint="eastAsia"/>
                <w:bCs/>
                <w:lang w:val="en-US" w:eastAsia="zh-CN"/>
              </w:rPr>
              <w:t xml:space="preserve">Case#1 </w:t>
            </w:r>
          </w:p>
        </w:tc>
        <w:tc>
          <w:tcPr>
            <w:tcW w:w="2587" w:type="dxa"/>
          </w:tcPr>
          <w:p>
            <w:pPr>
              <w:rPr>
                <w:bCs/>
                <w:lang w:val="en-US" w:eastAsia="zh-CN"/>
              </w:rPr>
            </w:pPr>
            <w:r>
              <w:rPr>
                <w:rFonts w:hint="eastAsia"/>
                <w:bCs/>
                <w:lang w:val="en-US" w:eastAsia="zh-CN"/>
              </w:rPr>
              <w:t>O</w:t>
            </w:r>
            <w:r>
              <w:rPr>
                <w:bCs/>
                <w:lang w:eastAsia="zh-CN"/>
              </w:rPr>
              <w:t>ption 1</w:t>
            </w:r>
            <w:r>
              <w:rPr>
                <w:rFonts w:hint="eastAsia"/>
                <w:bCs/>
                <w:lang w:val="en-US" w:eastAsia="zh-CN"/>
              </w:rPr>
              <w:t xml:space="preserve"> and </w:t>
            </w:r>
            <w:r>
              <w:rPr>
                <w:bCs/>
                <w:lang w:eastAsia="zh-CN"/>
              </w:rPr>
              <w:t>Opt</w:t>
            </w:r>
            <w:r>
              <w:rPr>
                <w:rFonts w:hint="eastAsia"/>
                <w:bCs/>
                <w:lang w:val="en-US" w:eastAsia="zh-CN"/>
              </w:rPr>
              <w:t xml:space="preserve"> </w:t>
            </w:r>
            <w:r>
              <w:rPr>
                <w:bCs/>
                <w:lang w:eastAsia="zh-CN"/>
              </w:rPr>
              <w:t>2</w:t>
            </w:r>
            <w:r>
              <w:rPr>
                <w:rFonts w:hint="eastAsia"/>
                <w:bCs/>
                <w:lang w:val="en-US" w:eastAsia="zh-CN"/>
              </w:rPr>
              <w:t>-</w:t>
            </w:r>
            <w:r>
              <w:rPr>
                <w:bCs/>
                <w:lang w:eastAsia="zh-CN"/>
              </w:rPr>
              <w:t>a</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Case#2 </w:t>
            </w:r>
          </w:p>
        </w:tc>
        <w:tc>
          <w:tcPr>
            <w:tcW w:w="2587" w:type="dxa"/>
          </w:tcPr>
          <w:p>
            <w:pPr>
              <w:rPr>
                <w:bCs/>
                <w:lang w:eastAsia="zh-CN"/>
              </w:rPr>
            </w:pPr>
            <w:r>
              <w:rPr>
                <w:bCs/>
                <w:lang w:eastAsia="zh-CN"/>
              </w:rPr>
              <w:t xml:space="preserve"> Opt</w:t>
            </w:r>
            <w:r>
              <w:rPr>
                <w:rFonts w:hint="eastAsia"/>
                <w:bCs/>
                <w:lang w:val="en-US" w:eastAsia="zh-CN"/>
              </w:rPr>
              <w:t xml:space="preserve"> </w:t>
            </w:r>
            <w:r>
              <w:rPr>
                <w:bCs/>
                <w:lang w:eastAsia="zh-CN"/>
              </w:rPr>
              <w:t>2</w:t>
            </w:r>
            <w:r>
              <w:rPr>
                <w:rFonts w:hint="eastAsia"/>
                <w:bCs/>
                <w:lang w:val="en-US" w:eastAsia="zh-CN"/>
              </w:rPr>
              <w:t>-</w:t>
            </w:r>
            <w:r>
              <w:rPr>
                <w:bCs/>
                <w:lang w:eastAsia="zh-CN"/>
              </w:rPr>
              <w:t>a</w:t>
            </w:r>
          </w:p>
        </w:tc>
        <w:tc>
          <w:tcPr>
            <w:tcW w:w="971" w:type="dxa"/>
            <w:vAlign w:val="center"/>
          </w:tcPr>
          <w:p>
            <w:pPr>
              <w:jc w:val="center"/>
              <w:rPr>
                <w:bCs/>
                <w:lang w:eastAsia="zh-CN"/>
              </w:rPr>
            </w:pPr>
            <w:r>
              <w:rPr>
                <w:rFonts w:hint="eastAsia"/>
                <w:bCs/>
                <w:lang w:eastAsia="zh-CN"/>
              </w:rPr>
              <w:t>0</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eastAsia="zh-CN"/>
              </w:rPr>
            </w:pPr>
            <w:r>
              <w:rPr>
                <w:rFonts w:hint="eastAsia"/>
                <w:bCs/>
                <w:lang w:val="en-US" w:eastAsia="zh-CN"/>
              </w:rPr>
              <w:t xml:space="preserve">Case#3 </w:t>
            </w:r>
          </w:p>
        </w:tc>
        <w:tc>
          <w:tcPr>
            <w:tcW w:w="2587" w:type="dxa"/>
          </w:tcPr>
          <w:p>
            <w:pPr>
              <w:rPr>
                <w:bCs/>
                <w:lang w:eastAsia="zh-CN"/>
              </w:rPr>
            </w:pPr>
            <w:r>
              <w:rPr>
                <w:bCs/>
                <w:lang w:eastAsia="zh-CN"/>
              </w:rPr>
              <w:t xml:space="preserve"> Opt</w:t>
            </w:r>
            <w:r>
              <w:rPr>
                <w:rFonts w:hint="eastAsia"/>
                <w:bCs/>
                <w:lang w:val="en-US" w:eastAsia="zh-CN"/>
              </w:rPr>
              <w:t xml:space="preserve">  </w:t>
            </w:r>
            <w:r>
              <w:rPr>
                <w:bCs/>
                <w:lang w:eastAsia="zh-CN"/>
              </w:rPr>
              <w:t>2</w:t>
            </w:r>
            <w:r>
              <w:rPr>
                <w:rFonts w:hint="eastAsia"/>
                <w:bCs/>
                <w:lang w:val="en-US" w:eastAsia="zh-CN"/>
              </w:rPr>
              <w:t>-</w:t>
            </w:r>
            <w:r>
              <w:rPr>
                <w:bCs/>
                <w:lang w:eastAsia="zh-CN"/>
              </w:rPr>
              <w:t xml:space="preserve">a </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0</w:t>
            </w:r>
          </w:p>
        </w:tc>
        <w:tc>
          <w:tcPr>
            <w:tcW w:w="2714" w:type="dxa"/>
            <w:vAlign w:val="center"/>
          </w:tcPr>
          <w:p>
            <w:pPr>
              <w:jc w:val="center"/>
              <w:rPr>
                <w:bCs/>
                <w:lang w:eastAsia="zh-CN"/>
              </w:rPr>
            </w:pPr>
            <w:r>
              <w:rPr>
                <w:rFonts w:hint="eastAsia"/>
                <w:bCs/>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61" w:type="dxa"/>
          </w:tcPr>
          <w:p>
            <w:pPr>
              <w:rPr>
                <w:bCs/>
                <w:lang w:val="en-US" w:eastAsia="zh-CN"/>
              </w:rPr>
            </w:pPr>
            <w:r>
              <w:rPr>
                <w:rFonts w:hint="eastAsia"/>
                <w:bCs/>
                <w:lang w:val="en-US" w:eastAsia="zh-CN"/>
              </w:rPr>
              <w:t>Case#4</w:t>
            </w:r>
          </w:p>
        </w:tc>
        <w:tc>
          <w:tcPr>
            <w:tcW w:w="2587" w:type="dxa"/>
          </w:tcPr>
          <w:p>
            <w:pPr>
              <w:rPr>
                <w:bCs/>
                <w:lang w:val="en-US" w:eastAsia="zh-CN"/>
              </w:rPr>
            </w:pPr>
            <w:r>
              <w:rPr>
                <w:rFonts w:hint="eastAsia"/>
                <w:bCs/>
                <w:lang w:val="en-US" w:eastAsia="zh-CN"/>
              </w:rPr>
              <w:t>O</w:t>
            </w:r>
            <w:r>
              <w:rPr>
                <w:bCs/>
                <w:lang w:eastAsia="zh-CN"/>
              </w:rPr>
              <w:t>ption 1</w:t>
            </w:r>
            <w:r>
              <w:rPr>
                <w:rFonts w:hint="eastAsia"/>
                <w:bCs/>
                <w:lang w:val="en-US" w:eastAsia="zh-CN"/>
              </w:rPr>
              <w:t xml:space="preserve"> and </w:t>
            </w:r>
            <w:r>
              <w:rPr>
                <w:bCs/>
                <w:lang w:eastAsia="zh-CN"/>
              </w:rPr>
              <w:t>Opt</w:t>
            </w:r>
            <w:r>
              <w:rPr>
                <w:rFonts w:hint="eastAsia"/>
                <w:bCs/>
                <w:lang w:val="en-US" w:eastAsia="zh-CN"/>
              </w:rPr>
              <w:t xml:space="preserve"> </w:t>
            </w:r>
            <w:r>
              <w:rPr>
                <w:bCs/>
                <w:lang w:eastAsia="zh-CN"/>
              </w:rPr>
              <w:t>2</w:t>
            </w:r>
            <w:r>
              <w:rPr>
                <w:rFonts w:hint="eastAsia"/>
                <w:bCs/>
                <w:lang w:val="en-US" w:eastAsia="zh-CN"/>
              </w:rPr>
              <w:t>-</w:t>
            </w:r>
            <w:r>
              <w:rPr>
                <w:bCs/>
                <w:lang w:eastAsia="zh-CN"/>
              </w:rPr>
              <w:t xml:space="preserve">a </w:t>
            </w:r>
          </w:p>
        </w:tc>
        <w:tc>
          <w:tcPr>
            <w:tcW w:w="971" w:type="dxa"/>
            <w:vAlign w:val="center"/>
          </w:tcPr>
          <w:p>
            <w:pPr>
              <w:jc w:val="center"/>
              <w:rPr>
                <w:bCs/>
                <w:lang w:eastAsia="zh-CN"/>
              </w:rPr>
            </w:pPr>
            <w:r>
              <w:rPr>
                <w:rFonts w:hint="eastAsia"/>
                <w:bCs/>
                <w:lang w:eastAsia="zh-CN"/>
              </w:rPr>
              <w:t>1</w:t>
            </w:r>
          </w:p>
        </w:tc>
        <w:tc>
          <w:tcPr>
            <w:tcW w:w="948" w:type="dxa"/>
            <w:vAlign w:val="center"/>
          </w:tcPr>
          <w:p>
            <w:pPr>
              <w:jc w:val="center"/>
              <w:rPr>
                <w:bCs/>
                <w:lang w:eastAsia="zh-CN"/>
              </w:rPr>
            </w:pPr>
            <w:r>
              <w:rPr>
                <w:rFonts w:hint="eastAsia"/>
                <w:bCs/>
                <w:lang w:eastAsia="zh-CN"/>
              </w:rPr>
              <w:t>1</w:t>
            </w:r>
          </w:p>
        </w:tc>
        <w:tc>
          <w:tcPr>
            <w:tcW w:w="2714" w:type="dxa"/>
            <w:vAlign w:val="center"/>
          </w:tcPr>
          <w:p>
            <w:pPr>
              <w:jc w:val="center"/>
              <w:rPr>
                <w:bCs/>
                <w:lang w:eastAsia="zh-CN"/>
              </w:rPr>
            </w:pPr>
            <w:r>
              <w:rPr>
                <w:rFonts w:hint="eastAsia"/>
                <w:bCs/>
                <w:lang w:eastAsia="zh-CN"/>
              </w:rPr>
              <w:t>1</w:t>
            </w:r>
          </w:p>
        </w:tc>
      </w:tr>
    </w:tbl>
    <w:p>
      <w:pPr>
        <w:spacing w:before="120"/>
        <w:ind w:left="0"/>
        <w:jc w:val="both"/>
        <w:rPr>
          <w:rFonts w:hint="eastAsia" w:ascii="Times New Roman" w:hAnsi="Times New Roman" w:eastAsia="宋体" w:cs="Times New Roman"/>
          <w:szCs w:val="20"/>
          <w:lang w:val="en-US" w:eastAsia="zh-CN"/>
        </w:rPr>
      </w:pPr>
      <w:r>
        <w:rPr>
          <w:rFonts w:hint="eastAsia" w:eastAsia="宋体"/>
          <w:lang w:val="en-US" w:eastAsia="zh-CN"/>
        </w:rPr>
        <w:t xml:space="preserve">In our view, the problematic case is Case#2 in Table 1. The reason is that, HARQ-ID and RV ID should be determined by URLLC mechanism for Case#2. However, if DFI carrying NACK is received or the </w:t>
      </w:r>
      <w:r>
        <w:rPr>
          <w:bCs/>
          <w:i/>
          <w:iCs/>
          <w:lang w:eastAsia="zh-CN"/>
        </w:rPr>
        <w:t>cg-RetransmissionTimer-r16</w:t>
      </w:r>
      <w:r>
        <w:rPr>
          <w:rFonts w:hint="eastAsia"/>
          <w:bCs/>
          <w:i/>
          <w:iCs/>
          <w:lang w:val="en-US" w:eastAsia="zh-CN"/>
        </w:rPr>
        <w:t xml:space="preserve"> </w:t>
      </w:r>
      <w:r>
        <w:rPr>
          <w:rFonts w:hint="eastAsia"/>
          <w:bCs/>
          <w:i w:val="0"/>
          <w:iCs w:val="0"/>
          <w:lang w:val="en-US" w:eastAsia="zh-CN"/>
        </w:rPr>
        <w:t xml:space="preserve">expires while the related DFI is not detected, the re-transmission must be transmitted on CG resource corresponding to the same HARQ ID.  This not only causes additional latency, but also makes gNB unaware of whether the TB is a new transmission or re-transmission because of  lack of NDI. </w:t>
      </w:r>
      <w:r>
        <w:rPr>
          <w:rFonts w:hint="eastAsia" w:eastAsia="宋体"/>
          <w:lang w:val="en-US" w:eastAsia="zh-CN"/>
        </w:rPr>
        <w:t xml:space="preserve"> Thus, we don</w:t>
      </w:r>
      <w:r>
        <w:rPr>
          <w:rFonts w:hint="default" w:eastAsia="宋体"/>
          <w:lang w:val="en-US" w:eastAsia="zh-CN"/>
        </w:rPr>
        <w:t>’</w:t>
      </w:r>
      <w:r>
        <w:rPr>
          <w:rFonts w:hint="eastAsia" w:eastAsia="宋体"/>
          <w:lang w:val="en-US" w:eastAsia="zh-CN"/>
        </w:rPr>
        <w:t>t see the reason of supporting Case#2. As discussed in previous meetings, we think Case#3 can work well and can be supported. Note that, t</w:t>
      </w:r>
      <w:r>
        <w:rPr>
          <w:rFonts w:hint="eastAsia" w:ascii="Times New Roman" w:hAnsi="Times New Roman" w:eastAsia="宋体" w:cs="Times New Roman"/>
          <w:szCs w:val="20"/>
          <w:lang w:val="en-US" w:eastAsia="zh-CN"/>
        </w:rPr>
        <w:t>he HARQ ID or RV could be determined by UE for Case#3, i.e., the following limitation in Rel-16 doesn</w:t>
      </w:r>
      <w:r>
        <w:rPr>
          <w:rFonts w:hint="default" w:ascii="Times New Roman" w:hAnsi="Times New Roman" w:eastAsia="宋体" w:cs="Times New Roman"/>
          <w:szCs w:val="20"/>
          <w:lang w:val="en-US" w:eastAsia="zh-CN"/>
        </w:rPr>
        <w:t>’</w:t>
      </w:r>
      <w:r>
        <w:rPr>
          <w:rFonts w:hint="eastAsia" w:ascii="Times New Roman" w:hAnsi="Times New Roman" w:eastAsia="宋体" w:cs="Times New Roman"/>
          <w:szCs w:val="20"/>
          <w:lang w:val="en-US" w:eastAsia="zh-CN"/>
        </w:rPr>
        <w:t xml:space="preserve">t have to be kept. </w:t>
      </w:r>
    </w:p>
    <w:tbl>
      <w:tblPr>
        <w:tblStyle w:val="2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1" w:type="dxa"/>
          </w:tcPr>
          <w:p>
            <w:pPr>
              <w:spacing w:before="0"/>
              <w:jc w:val="left"/>
              <w:rPr>
                <w:rFonts w:hint="eastAsia" w:ascii="Times New Roman" w:hAnsi="Times New Roman" w:eastAsia="宋体" w:cs="Times New Roman"/>
                <w:szCs w:val="20"/>
                <w:vertAlign w:val="baseline"/>
                <w:lang w:val="en-US" w:eastAsia="zh-CN"/>
              </w:rPr>
            </w:pPr>
            <w:r>
              <w:rPr>
                <w:rFonts w:hint="default" w:ascii="Times New Roman" w:hAnsi="Times New Roman" w:eastAsia="宋体" w:cs="Times New Roman"/>
                <w:i/>
                <w:iCs/>
                <w:sz w:val="20"/>
                <w:szCs w:val="16"/>
                <w:lang w:val="en-US" w:eastAsia="zh-CN" w:bidi="ar-SA"/>
              </w:rPr>
              <w:t>‘</w:t>
            </w:r>
            <w:r>
              <w:rPr>
                <w:rFonts w:hint="eastAsia" w:ascii="Times New Roman" w:hAnsi="Times New Roman" w:eastAsia="宋体" w:cs="Times New Roman"/>
                <w:i/>
                <w:iCs/>
                <w:sz w:val="20"/>
                <w:szCs w:val="16"/>
                <w:lang w:val="en-US" w:eastAsia="zh-CN" w:bidi="ar-SA"/>
              </w:rPr>
              <w:t>If cg-RetransmissionTimer is provided, the redundancy version for uplink transmission with a configured grant is determined by the UE.</w:t>
            </w:r>
            <w:r>
              <w:rPr>
                <w:rFonts w:hint="default" w:ascii="Times New Roman" w:hAnsi="Times New Roman" w:eastAsia="宋体" w:cs="Times New Roman"/>
                <w:i/>
                <w:iCs/>
                <w:sz w:val="20"/>
                <w:szCs w:val="16"/>
                <w:lang w:val="en-US" w:eastAsia="zh-CN" w:bidi="ar-SA"/>
              </w:rPr>
              <w:t>’</w:t>
            </w:r>
          </w:p>
        </w:tc>
      </w:tr>
    </w:tbl>
    <w:p>
      <w:pPr>
        <w:spacing w:before="120"/>
        <w:jc w:val="left"/>
        <w:rPr>
          <w:rFonts w:eastAsia="宋体"/>
          <w:lang w:val="en-US" w:eastAsia="zh-CN"/>
        </w:rPr>
      </w:pPr>
      <w:r>
        <w:rPr>
          <w:rFonts w:hint="eastAsia" w:eastAsia="宋体"/>
          <w:lang w:val="en-US" w:eastAsia="zh-CN"/>
        </w:rPr>
        <w:t>Based on the above analysis, we prefer Option 1 for simplicity and also fine to additionally support Case#3.</w:t>
      </w:r>
      <w:r>
        <w:rPr>
          <w:rFonts w:hint="eastAsia"/>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val="0"/>
        <w:spacing w:after="120"/>
        <w:ind w:leftChars="0"/>
        <w:textAlignment w:val="auto"/>
        <w:rPr>
          <w:rFonts w:eastAsia="宋体"/>
          <w:i/>
          <w:iCs/>
          <w:lang w:val="en-US" w:eastAsia="zh-CN"/>
        </w:rPr>
      </w:pPr>
      <w:r>
        <w:rPr>
          <w:rFonts w:hint="eastAsia"/>
          <w:b/>
          <w:bCs/>
          <w:i/>
          <w:iCs/>
          <w:lang w:val="en-US" w:eastAsia="zh-CN"/>
        </w:rPr>
        <w:t xml:space="preserve">Proposal 2: </w:t>
      </w:r>
      <w:r>
        <w:rPr>
          <w:rFonts w:hint="eastAsia"/>
          <w:i/>
          <w:iCs/>
          <w:lang w:val="en-US" w:eastAsia="zh-CN"/>
        </w:rPr>
        <w:t>Option 1 is supported, i.e.,</w:t>
      </w:r>
      <w:r>
        <w:rPr>
          <w:rFonts w:hint="eastAsia" w:ascii="Times New Roman" w:hAnsi="Times New Roman" w:eastAsia="Times New Roman" w:cs="Times New Roman"/>
          <w:i/>
          <w:iCs/>
          <w:lang w:val="en-US" w:eastAsia="zh-CN"/>
        </w:rPr>
        <w:t xml:space="preserve"> both “CG-UCI based procedures” and “CG-DFI based procedures” are enabled or disabled for unlicensed using one RRC parameter i.e. cg-RetransmissionTimer-r16.  </w:t>
      </w:r>
    </w:p>
    <w:p>
      <w:pPr>
        <w:pStyle w:val="2"/>
        <w:spacing w:beforeLines="0" w:after="180" w:afterLines="50"/>
        <w:rPr>
          <w:lang w:val="en-US"/>
        </w:rPr>
      </w:pPr>
      <w:r>
        <w:rPr>
          <w:rFonts w:hint="eastAsia"/>
          <w:lang w:val="en-US"/>
        </w:rPr>
        <w:t>Conclusion</w:t>
      </w:r>
    </w:p>
    <w:p>
      <w:pPr>
        <w:rPr>
          <w:rFonts w:eastAsia="宋体"/>
          <w:lang w:val="en-US" w:eastAsia="zh-CN"/>
        </w:rPr>
      </w:pPr>
      <w:r>
        <w:rPr>
          <w:rFonts w:hint="eastAsia" w:eastAsia="宋体"/>
          <w:lang w:val="en-US" w:eastAsia="zh-CN"/>
        </w:rPr>
        <w:t>According to the analysis given above, we have the following observations and proposals:</w:t>
      </w:r>
    </w:p>
    <w:p>
      <w:pPr>
        <w:spacing w:after="180" w:afterLines="50"/>
        <w:jc w:val="left"/>
        <w:textAlignment w:val="center"/>
        <w:rPr>
          <w:i/>
          <w:iCs/>
          <w:lang w:val="en-US" w:eastAsia="zh-CN"/>
        </w:rPr>
      </w:pPr>
      <w:r>
        <w:rPr>
          <w:rFonts w:hint="eastAsia"/>
          <w:b/>
          <w:bCs/>
          <w:i/>
          <w:iCs/>
          <w:lang w:val="en-US" w:eastAsia="zh-CN"/>
        </w:rPr>
        <w:t xml:space="preserve">Proposal 1: </w:t>
      </w:r>
      <w:r>
        <w:rPr>
          <w:rFonts w:hint="eastAsia"/>
          <w:i/>
          <w:iCs/>
          <w:lang w:val="en-US" w:eastAsia="zh-CN"/>
        </w:rPr>
        <w:t>When a scheduled/configured UL transmission that is aligned with a UE FFP boundary and ends before the idle period of that UE FFP:</w:t>
      </w:r>
    </w:p>
    <w:p>
      <w:pPr>
        <w:numPr>
          <w:ilvl w:val="0"/>
          <w:numId w:val="7"/>
        </w:numPr>
        <w:spacing w:after="0"/>
        <w:ind w:left="600" w:leftChars="290" w:hanging="20" w:hangingChars="10"/>
        <w:jc w:val="left"/>
        <w:textAlignment w:val="center"/>
        <w:rPr>
          <w:rFonts w:eastAsia="宋体"/>
          <w:i/>
          <w:iCs/>
          <w:lang w:val="en-US" w:eastAsia="zh-CN"/>
        </w:rPr>
      </w:pPr>
      <w:r>
        <w:rPr>
          <w:rFonts w:hint="eastAsia"/>
          <w:i/>
          <w:iCs/>
          <w:lang w:val="en-US" w:eastAsia="zh-CN"/>
        </w:rPr>
        <w:t>If the transmission is confined within a gNB FFP before the idle period of that gNB FFP, and the UE has already determined that gNB is initiated that gNB FFP, UE assumes that the scheduled/configured UL transmission corresponds to gNB-initiated COT. </w:t>
      </w:r>
    </w:p>
    <w:p>
      <w:pPr>
        <w:numPr>
          <w:ilvl w:val="0"/>
          <w:numId w:val="7"/>
        </w:numPr>
        <w:spacing w:after="0"/>
        <w:ind w:left="600" w:leftChars="290" w:hanging="20" w:hangingChars="10"/>
        <w:jc w:val="left"/>
        <w:textAlignment w:val="center"/>
        <w:rPr>
          <w:rFonts w:eastAsia="宋体"/>
          <w:i/>
          <w:iCs/>
          <w:lang w:val="en-US" w:eastAsia="zh-CN"/>
        </w:rPr>
      </w:pPr>
      <w:r>
        <w:rPr>
          <w:rFonts w:hint="eastAsia"/>
          <w:i/>
          <w:iCs/>
          <w:lang w:val="en-US" w:eastAsia="zh-CN"/>
        </w:rPr>
        <w:t>Otherwise, UE assumes that the scheduled/configured UL transmission corresponds to UE-initiated COT.</w:t>
      </w:r>
    </w:p>
    <w:p>
      <w:pPr>
        <w:keepNext w:val="0"/>
        <w:keepLines w:val="0"/>
        <w:pageBreakBefore w:val="0"/>
        <w:widowControl w:val="0"/>
        <w:numPr>
          <w:ilvl w:val="0"/>
          <w:numId w:val="0"/>
        </w:numPr>
        <w:kinsoku/>
        <w:wordWrap/>
        <w:overflowPunct/>
        <w:topLinePunct w:val="0"/>
        <w:autoSpaceDE/>
        <w:autoSpaceDN/>
        <w:bidi w:val="0"/>
        <w:adjustRightInd/>
        <w:snapToGrid w:val="0"/>
        <w:spacing w:before="120" w:after="120"/>
        <w:ind w:leftChars="0"/>
        <w:textAlignment w:val="auto"/>
        <w:rPr>
          <w:rFonts w:eastAsia="宋体"/>
          <w:i/>
          <w:iCs/>
          <w:lang w:val="en-US" w:eastAsia="zh-CN"/>
        </w:rPr>
      </w:pPr>
      <w:r>
        <w:rPr>
          <w:rFonts w:hint="eastAsia"/>
          <w:b/>
          <w:bCs/>
          <w:i/>
          <w:iCs/>
          <w:lang w:val="en-US" w:eastAsia="zh-CN"/>
        </w:rPr>
        <w:t xml:space="preserve">Proposal 2: </w:t>
      </w:r>
      <w:r>
        <w:rPr>
          <w:rFonts w:hint="eastAsia"/>
          <w:i/>
          <w:iCs/>
          <w:lang w:val="en-US" w:eastAsia="zh-CN"/>
        </w:rPr>
        <w:t>Option 1 is supported, i.e.,</w:t>
      </w:r>
      <w:r>
        <w:rPr>
          <w:rFonts w:hint="eastAsia" w:ascii="Times New Roman" w:hAnsi="Times New Roman" w:eastAsia="Times New Roman" w:cs="Times New Roman"/>
          <w:i/>
          <w:iCs/>
          <w:lang w:val="en-US" w:eastAsia="zh-CN"/>
        </w:rPr>
        <w:t xml:space="preserve"> both “CG-UCI based procedures” and “CG-DFI based procedures” are enabled or disabled for unlicensed using one RRC parameter i.e. cg-RetransmissionTimer-r16.  </w:t>
      </w:r>
    </w:p>
    <w:p>
      <w:pPr>
        <w:pStyle w:val="2"/>
        <w:spacing w:beforeLines="0" w:after="180" w:afterLines="50"/>
        <w:rPr>
          <w:lang w:val="en-US"/>
        </w:rPr>
      </w:pPr>
      <w:r>
        <w:rPr>
          <w:rFonts w:hint="eastAsia"/>
          <w:lang w:val="en-US"/>
        </w:rPr>
        <w:t>Reference</w:t>
      </w:r>
    </w:p>
    <w:p>
      <w:pPr>
        <w:pStyle w:val="109"/>
        <w:rPr>
          <w:lang w:eastAsia="zh-CN"/>
        </w:rPr>
      </w:pPr>
      <w:r>
        <w:rPr>
          <w:lang w:eastAsia="zh-CN"/>
        </w:rPr>
        <w:t>RP-</w:t>
      </w:r>
      <w:r>
        <w:rPr>
          <w:rFonts w:hint="eastAsia"/>
          <w:lang w:val="en-US" w:eastAsia="zh-CN"/>
        </w:rPr>
        <w:t>201310</w:t>
      </w:r>
      <w:r>
        <w:rPr>
          <w:lang w:eastAsia="zh-CN"/>
        </w:rPr>
        <w:t xml:space="preserve">, </w:t>
      </w:r>
      <w:r>
        <w:rPr>
          <w:rFonts w:hint="eastAsia"/>
          <w:lang w:val="en-US" w:eastAsia="zh-CN"/>
        </w:rPr>
        <w:t>Revised</w:t>
      </w:r>
      <w:r>
        <w:rPr>
          <w:lang w:eastAsia="zh-CN"/>
        </w:rPr>
        <w:t xml:space="preserve"> WID</w:t>
      </w:r>
      <w:r>
        <w:rPr>
          <w:rFonts w:hint="eastAsia"/>
          <w:lang w:val="en-US" w:eastAsia="zh-CN"/>
        </w:rPr>
        <w:t>: Enhanced industrial Internet of Things (IoT)</w:t>
      </w:r>
      <w:r>
        <w:rPr>
          <w:lang w:eastAsia="zh-CN"/>
        </w:rPr>
        <w:t xml:space="preserve"> </w:t>
      </w:r>
      <w:r>
        <w:rPr>
          <w:rFonts w:hint="eastAsia"/>
          <w:lang w:val="en-US" w:eastAsia="zh-CN"/>
        </w:rPr>
        <w:t xml:space="preserve">and ultra-reliable and low latency communication (URLLC) support for </w:t>
      </w:r>
      <w:r>
        <w:rPr>
          <w:lang w:eastAsia="zh-CN"/>
        </w:rPr>
        <w:t>NR.</w:t>
      </w:r>
    </w:p>
    <w:p>
      <w:pPr>
        <w:pStyle w:val="109"/>
        <w:rPr>
          <w:lang w:eastAsia="zh-CN"/>
        </w:rPr>
      </w:pPr>
      <w:r>
        <w:rPr>
          <w:rFonts w:hint="eastAsia"/>
          <w:lang w:eastAsia="zh-CN"/>
        </w:rPr>
        <w:t>RAN1#10</w:t>
      </w:r>
      <w:r>
        <w:rPr>
          <w:rFonts w:hint="eastAsia"/>
          <w:lang w:val="en-US" w:eastAsia="zh-CN"/>
        </w:rPr>
        <w:t>3-e</w:t>
      </w:r>
      <w:r>
        <w:rPr>
          <w:rFonts w:hint="eastAsia"/>
          <w:lang w:eastAsia="zh-CN"/>
        </w:rPr>
        <w:t>, chairman note</w:t>
      </w:r>
      <w:r>
        <w:rPr>
          <w:rFonts w:hint="eastAsia"/>
          <w:lang w:val="en-US" w:eastAsia="zh-CN"/>
        </w:rPr>
        <w:t>s.</w:t>
      </w:r>
    </w:p>
    <w:p>
      <w:pPr>
        <w:pStyle w:val="109"/>
        <w:rPr>
          <w:lang w:eastAsia="zh-CN"/>
        </w:rPr>
      </w:pPr>
      <w:r>
        <w:rPr>
          <w:rFonts w:hint="eastAsia"/>
          <w:lang w:eastAsia="zh-CN"/>
        </w:rPr>
        <w:t>RAN1#10</w:t>
      </w:r>
      <w:r>
        <w:rPr>
          <w:rFonts w:hint="eastAsia"/>
          <w:lang w:val="en-US" w:eastAsia="zh-CN"/>
        </w:rPr>
        <w:t>4bis-e</w:t>
      </w:r>
      <w:r>
        <w:rPr>
          <w:rFonts w:hint="eastAsia"/>
          <w:lang w:eastAsia="zh-CN"/>
        </w:rPr>
        <w:t>, chairman notes</w:t>
      </w:r>
      <w:r>
        <w:rPr>
          <w:rFonts w:hint="eastAsia"/>
          <w:lang w:val="en-US" w:eastAsia="zh-CN"/>
        </w:rPr>
        <w:t>.</w:t>
      </w:r>
      <w:bookmarkStart w:id="2" w:name="_GoBack"/>
      <w:bookmarkEnd w:id="2"/>
    </w:p>
    <w:p>
      <w:pPr>
        <w:pStyle w:val="82"/>
        <w:spacing w:line="0" w:lineRule="atLeast"/>
        <w:ind w:firstLine="0" w:firstLineChars="0"/>
        <w:rPr>
          <w:rFonts w:ascii="Times New Roman" w:hAnsi="Times New Roman"/>
          <w:sz w:val="20"/>
          <w:szCs w:val="20"/>
          <w:lang w:val="en-US" w:eastAsia="zh-CN"/>
        </w:rPr>
      </w:pPr>
    </w:p>
    <w:sectPr>
      <w:headerReference r:id="rId3" w:type="default"/>
      <w:footerReference r:id="rId4"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楷体_GB2312">
    <w:altName w:val="楷体"/>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2158B72"/>
    <w:multiLevelType w:val="singleLevel"/>
    <w:tmpl w:val="92158B72"/>
    <w:lvl w:ilvl="0" w:tentative="0">
      <w:start w:val="1"/>
      <w:numFmt w:val="bullet"/>
      <w:lvlText w:val="-"/>
      <w:lvlJc w:val="left"/>
      <w:pPr>
        <w:tabs>
          <w:tab w:val="left" w:pos="840"/>
        </w:tabs>
        <w:ind w:left="1260" w:hanging="420"/>
      </w:pPr>
      <w:rPr>
        <w:rFonts w:hint="default" w:ascii="黑体" w:hAnsi="黑体" w:eastAsia="黑体" w:cs="黑体"/>
      </w:rPr>
    </w:lvl>
  </w:abstractNum>
  <w:abstractNum w:abstractNumId="1">
    <w:nsid w:val="2CE50B30"/>
    <w:multiLevelType w:val="multilevel"/>
    <w:tmpl w:val="2CE50B30"/>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A877D64"/>
    <w:multiLevelType w:val="singleLevel"/>
    <w:tmpl w:val="3A877D64"/>
    <w:lvl w:ilvl="0" w:tentative="0">
      <w:start w:val="1"/>
      <w:numFmt w:val="decimal"/>
      <w:pStyle w:val="109"/>
      <w:lvlText w:val="[%1]"/>
      <w:lvlJc w:val="left"/>
      <w:pPr>
        <w:tabs>
          <w:tab w:val="left" w:pos="360"/>
        </w:tabs>
        <w:ind w:left="360" w:hanging="360"/>
      </w:pPr>
    </w:lvl>
  </w:abstractNum>
  <w:abstractNum w:abstractNumId="3">
    <w:nsid w:val="49754EAF"/>
    <w:multiLevelType w:val="multilevel"/>
    <w:tmpl w:val="49754EAF"/>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5">
    <w:nsid w:val="67586D7D"/>
    <w:multiLevelType w:val="multilevel"/>
    <w:tmpl w:val="67586D7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B7ED40C"/>
    <w:multiLevelType w:val="singleLevel"/>
    <w:tmpl w:val="7B7ED40C"/>
    <w:lvl w:ilvl="0" w:tentative="0">
      <w:start w:val="1"/>
      <w:numFmt w:val="lowerLetter"/>
      <w:lvlText w:val="%1."/>
      <w:lvlJc w:val="left"/>
      <w:pPr>
        <w:tabs>
          <w:tab w:val="left" w:pos="420"/>
        </w:tabs>
        <w:ind w:left="425" w:hanging="425"/>
      </w:pPr>
      <w:rPr>
        <w:rFonts w:hint="default"/>
      </w:rPr>
    </w:lvl>
  </w:abstractNum>
  <w:abstractNum w:abstractNumId="7">
    <w:nsid w:val="7C4E1FF8"/>
    <w:multiLevelType w:val="multilevel"/>
    <w:tmpl w:val="7C4E1FF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4"/>
  </w:num>
  <w:num w:numId="2">
    <w:abstractNumId w:val="2"/>
  </w:num>
  <w:num w:numId="3">
    <w:abstractNumId w:val="6"/>
  </w:num>
  <w:num w:numId="4">
    <w:abstractNumId w:val="7"/>
  </w:num>
  <w:num w:numId="5">
    <w:abstractNumId w:val="5"/>
  </w:num>
  <w:num w:numId="6">
    <w:abstractNumId w:val="3"/>
  </w:num>
  <w:num w:numId="7">
    <w:abstractNumId w:val="0"/>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49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1D9"/>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633"/>
    <w:rsid w:val="00081A62"/>
    <w:rsid w:val="00082770"/>
    <w:rsid w:val="00083055"/>
    <w:rsid w:val="000830C1"/>
    <w:rsid w:val="0008323D"/>
    <w:rsid w:val="000832AB"/>
    <w:rsid w:val="0008335E"/>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ADC"/>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CDF"/>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69BF"/>
    <w:rsid w:val="001A7B7B"/>
    <w:rsid w:val="001B085D"/>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8CC"/>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349"/>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4F4B"/>
    <w:rsid w:val="002E53C5"/>
    <w:rsid w:val="002E5780"/>
    <w:rsid w:val="002E5D69"/>
    <w:rsid w:val="002E5EE1"/>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64B4"/>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828"/>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4C5"/>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1B4"/>
    <w:rsid w:val="003C0B89"/>
    <w:rsid w:val="003C0E3D"/>
    <w:rsid w:val="003C1071"/>
    <w:rsid w:val="003C1228"/>
    <w:rsid w:val="003C1FC7"/>
    <w:rsid w:val="003C231D"/>
    <w:rsid w:val="003C23A0"/>
    <w:rsid w:val="003C23B8"/>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B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004"/>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1B3"/>
    <w:rsid w:val="0044749F"/>
    <w:rsid w:val="00447885"/>
    <w:rsid w:val="004501A0"/>
    <w:rsid w:val="0045091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9E9"/>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D09"/>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A60"/>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699"/>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223"/>
    <w:rsid w:val="00603318"/>
    <w:rsid w:val="006033A2"/>
    <w:rsid w:val="006035C4"/>
    <w:rsid w:val="00604562"/>
    <w:rsid w:val="00604DCD"/>
    <w:rsid w:val="00605135"/>
    <w:rsid w:val="00605B72"/>
    <w:rsid w:val="00605BDD"/>
    <w:rsid w:val="006066C3"/>
    <w:rsid w:val="00606731"/>
    <w:rsid w:val="00606962"/>
    <w:rsid w:val="00606993"/>
    <w:rsid w:val="00606CB5"/>
    <w:rsid w:val="00606D56"/>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3FD1"/>
    <w:rsid w:val="007643AD"/>
    <w:rsid w:val="00764768"/>
    <w:rsid w:val="0076487E"/>
    <w:rsid w:val="00764E46"/>
    <w:rsid w:val="00764F03"/>
    <w:rsid w:val="007653D9"/>
    <w:rsid w:val="007656B4"/>
    <w:rsid w:val="0076589E"/>
    <w:rsid w:val="00765C59"/>
    <w:rsid w:val="00765D06"/>
    <w:rsid w:val="00765F12"/>
    <w:rsid w:val="007660AB"/>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E04"/>
    <w:rsid w:val="00805AED"/>
    <w:rsid w:val="00805C1A"/>
    <w:rsid w:val="00806396"/>
    <w:rsid w:val="00806778"/>
    <w:rsid w:val="008068EE"/>
    <w:rsid w:val="00806B0D"/>
    <w:rsid w:val="008071D9"/>
    <w:rsid w:val="00807E32"/>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4CEE"/>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2FF6"/>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1C2"/>
    <w:rsid w:val="0084221A"/>
    <w:rsid w:val="008422DC"/>
    <w:rsid w:val="008425E0"/>
    <w:rsid w:val="008425F8"/>
    <w:rsid w:val="00842DBF"/>
    <w:rsid w:val="00842EE0"/>
    <w:rsid w:val="0084373F"/>
    <w:rsid w:val="00844057"/>
    <w:rsid w:val="00844420"/>
    <w:rsid w:val="00844618"/>
    <w:rsid w:val="0084468B"/>
    <w:rsid w:val="0084489B"/>
    <w:rsid w:val="008449EA"/>
    <w:rsid w:val="00845259"/>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6FED"/>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2329"/>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9FC"/>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D97"/>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6791"/>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E39"/>
    <w:rsid w:val="00971FED"/>
    <w:rsid w:val="00972055"/>
    <w:rsid w:val="00972540"/>
    <w:rsid w:val="00972FA7"/>
    <w:rsid w:val="009732E5"/>
    <w:rsid w:val="00974429"/>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AD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947"/>
    <w:rsid w:val="009C5A65"/>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2E8C"/>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7B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1E96"/>
    <w:rsid w:val="00B22241"/>
    <w:rsid w:val="00B2241B"/>
    <w:rsid w:val="00B22B26"/>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4B0"/>
    <w:rsid w:val="00B656D6"/>
    <w:rsid w:val="00B657E2"/>
    <w:rsid w:val="00B65997"/>
    <w:rsid w:val="00B65A13"/>
    <w:rsid w:val="00B65BAE"/>
    <w:rsid w:val="00B661F0"/>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B7A36"/>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946"/>
    <w:rsid w:val="00BE6B9B"/>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349"/>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5F"/>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5B6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08"/>
    <w:rsid w:val="00DB7552"/>
    <w:rsid w:val="00DB7A63"/>
    <w:rsid w:val="00DB7F67"/>
    <w:rsid w:val="00DC0436"/>
    <w:rsid w:val="00DC044D"/>
    <w:rsid w:val="00DC094A"/>
    <w:rsid w:val="00DC0D95"/>
    <w:rsid w:val="00DC0DD6"/>
    <w:rsid w:val="00DC1702"/>
    <w:rsid w:val="00DC2D36"/>
    <w:rsid w:val="00DC3347"/>
    <w:rsid w:val="00DC349E"/>
    <w:rsid w:val="00DC3B3B"/>
    <w:rsid w:val="00DC3D00"/>
    <w:rsid w:val="00DC4FFD"/>
    <w:rsid w:val="00DC54D3"/>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2E7"/>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A2D"/>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06BD"/>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8E4"/>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25"/>
    <w:rsid w:val="00FC7CBB"/>
    <w:rsid w:val="00FC7F4A"/>
    <w:rsid w:val="00FD027B"/>
    <w:rsid w:val="00FD0355"/>
    <w:rsid w:val="00FD05D7"/>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264E3F"/>
    <w:rsid w:val="012D6E52"/>
    <w:rsid w:val="013112DA"/>
    <w:rsid w:val="01393285"/>
    <w:rsid w:val="013F3581"/>
    <w:rsid w:val="014C298A"/>
    <w:rsid w:val="01520502"/>
    <w:rsid w:val="01546DB6"/>
    <w:rsid w:val="015E6A45"/>
    <w:rsid w:val="01623DF4"/>
    <w:rsid w:val="01691528"/>
    <w:rsid w:val="01B54795"/>
    <w:rsid w:val="01B82E19"/>
    <w:rsid w:val="01D00F53"/>
    <w:rsid w:val="01D33DB3"/>
    <w:rsid w:val="01D73285"/>
    <w:rsid w:val="01DC6F4A"/>
    <w:rsid w:val="01E376C5"/>
    <w:rsid w:val="01F93655"/>
    <w:rsid w:val="02020AE4"/>
    <w:rsid w:val="02207E72"/>
    <w:rsid w:val="02541516"/>
    <w:rsid w:val="02587224"/>
    <w:rsid w:val="025F1C33"/>
    <w:rsid w:val="026830A9"/>
    <w:rsid w:val="026C2A5A"/>
    <w:rsid w:val="028048A7"/>
    <w:rsid w:val="0291791E"/>
    <w:rsid w:val="02981CD7"/>
    <w:rsid w:val="02E464D1"/>
    <w:rsid w:val="02E8015E"/>
    <w:rsid w:val="02EB1A31"/>
    <w:rsid w:val="0306050F"/>
    <w:rsid w:val="031C1926"/>
    <w:rsid w:val="031D7961"/>
    <w:rsid w:val="034D2370"/>
    <w:rsid w:val="035720F6"/>
    <w:rsid w:val="03646B0B"/>
    <w:rsid w:val="038550DA"/>
    <w:rsid w:val="03AA45A0"/>
    <w:rsid w:val="03F01C6E"/>
    <w:rsid w:val="03F27F94"/>
    <w:rsid w:val="03F816B2"/>
    <w:rsid w:val="040A516D"/>
    <w:rsid w:val="040E4833"/>
    <w:rsid w:val="041A3ED8"/>
    <w:rsid w:val="041A6F20"/>
    <w:rsid w:val="043C4C0D"/>
    <w:rsid w:val="04402F40"/>
    <w:rsid w:val="04447C19"/>
    <w:rsid w:val="044910FD"/>
    <w:rsid w:val="044F35E8"/>
    <w:rsid w:val="045433FD"/>
    <w:rsid w:val="0469222B"/>
    <w:rsid w:val="046A0E23"/>
    <w:rsid w:val="0474547F"/>
    <w:rsid w:val="04924A97"/>
    <w:rsid w:val="049A0A3E"/>
    <w:rsid w:val="049A7783"/>
    <w:rsid w:val="04A5443E"/>
    <w:rsid w:val="04AC39E4"/>
    <w:rsid w:val="04AE48C1"/>
    <w:rsid w:val="04C4110B"/>
    <w:rsid w:val="04CA086A"/>
    <w:rsid w:val="04E45140"/>
    <w:rsid w:val="04E954F9"/>
    <w:rsid w:val="0524605D"/>
    <w:rsid w:val="0526137A"/>
    <w:rsid w:val="0548612D"/>
    <w:rsid w:val="054E445C"/>
    <w:rsid w:val="055127F7"/>
    <w:rsid w:val="05647838"/>
    <w:rsid w:val="0598640F"/>
    <w:rsid w:val="05A305F1"/>
    <w:rsid w:val="05BA5328"/>
    <w:rsid w:val="05BD3584"/>
    <w:rsid w:val="05CF4C42"/>
    <w:rsid w:val="05D06065"/>
    <w:rsid w:val="05FB128B"/>
    <w:rsid w:val="060D6F9C"/>
    <w:rsid w:val="060F2F42"/>
    <w:rsid w:val="06173555"/>
    <w:rsid w:val="062F4570"/>
    <w:rsid w:val="06515F68"/>
    <w:rsid w:val="065546F2"/>
    <w:rsid w:val="065E5BE3"/>
    <w:rsid w:val="06753ED4"/>
    <w:rsid w:val="06776BF9"/>
    <w:rsid w:val="067B76C8"/>
    <w:rsid w:val="068532CE"/>
    <w:rsid w:val="0690732E"/>
    <w:rsid w:val="069E78BC"/>
    <w:rsid w:val="06A62E65"/>
    <w:rsid w:val="06B327D1"/>
    <w:rsid w:val="06BA69A6"/>
    <w:rsid w:val="06BD4E39"/>
    <w:rsid w:val="06C01511"/>
    <w:rsid w:val="06D767B9"/>
    <w:rsid w:val="06F82C32"/>
    <w:rsid w:val="06FC24C7"/>
    <w:rsid w:val="06FC6964"/>
    <w:rsid w:val="07317300"/>
    <w:rsid w:val="07411510"/>
    <w:rsid w:val="07604F5E"/>
    <w:rsid w:val="076C1DE8"/>
    <w:rsid w:val="077350E5"/>
    <w:rsid w:val="07811C6E"/>
    <w:rsid w:val="07903D72"/>
    <w:rsid w:val="07B17241"/>
    <w:rsid w:val="07D52D8D"/>
    <w:rsid w:val="07E64F02"/>
    <w:rsid w:val="07E66F52"/>
    <w:rsid w:val="07E7048F"/>
    <w:rsid w:val="081E58D8"/>
    <w:rsid w:val="0830791C"/>
    <w:rsid w:val="08402E48"/>
    <w:rsid w:val="084101E3"/>
    <w:rsid w:val="08436133"/>
    <w:rsid w:val="086934C0"/>
    <w:rsid w:val="08697669"/>
    <w:rsid w:val="086B53B3"/>
    <w:rsid w:val="08906322"/>
    <w:rsid w:val="089A4BE3"/>
    <w:rsid w:val="08B30835"/>
    <w:rsid w:val="08BA5D07"/>
    <w:rsid w:val="08C44B33"/>
    <w:rsid w:val="08D10DD0"/>
    <w:rsid w:val="08D360D0"/>
    <w:rsid w:val="08F3530B"/>
    <w:rsid w:val="09004DDD"/>
    <w:rsid w:val="090F7F1E"/>
    <w:rsid w:val="09100B07"/>
    <w:rsid w:val="091C3406"/>
    <w:rsid w:val="0966730E"/>
    <w:rsid w:val="099377E2"/>
    <w:rsid w:val="0997279A"/>
    <w:rsid w:val="09983031"/>
    <w:rsid w:val="09A13025"/>
    <w:rsid w:val="09A64982"/>
    <w:rsid w:val="09B0015F"/>
    <w:rsid w:val="09C115E3"/>
    <w:rsid w:val="09C420B9"/>
    <w:rsid w:val="09CA74D8"/>
    <w:rsid w:val="09D23A57"/>
    <w:rsid w:val="09FA3768"/>
    <w:rsid w:val="0A085DE9"/>
    <w:rsid w:val="0A1039CB"/>
    <w:rsid w:val="0A130914"/>
    <w:rsid w:val="0A284254"/>
    <w:rsid w:val="0A345375"/>
    <w:rsid w:val="0A47670A"/>
    <w:rsid w:val="0A4E5FCD"/>
    <w:rsid w:val="0A583A80"/>
    <w:rsid w:val="0A5A0CCD"/>
    <w:rsid w:val="0A5F6BBB"/>
    <w:rsid w:val="0A8C3290"/>
    <w:rsid w:val="0A905C06"/>
    <w:rsid w:val="0A99506A"/>
    <w:rsid w:val="0AA517FF"/>
    <w:rsid w:val="0AA857CE"/>
    <w:rsid w:val="0ABB577B"/>
    <w:rsid w:val="0ABC34C6"/>
    <w:rsid w:val="0AC84718"/>
    <w:rsid w:val="0ACA1770"/>
    <w:rsid w:val="0AE309A8"/>
    <w:rsid w:val="0AE72839"/>
    <w:rsid w:val="0AF67834"/>
    <w:rsid w:val="0AF7124F"/>
    <w:rsid w:val="0AF719EE"/>
    <w:rsid w:val="0B05050D"/>
    <w:rsid w:val="0B1C0ABA"/>
    <w:rsid w:val="0B4D48FC"/>
    <w:rsid w:val="0B4E6FB1"/>
    <w:rsid w:val="0B6F6DE3"/>
    <w:rsid w:val="0B70471D"/>
    <w:rsid w:val="0B894577"/>
    <w:rsid w:val="0B8E2ACF"/>
    <w:rsid w:val="0B9E0B65"/>
    <w:rsid w:val="0BA705CD"/>
    <w:rsid w:val="0BAC71B3"/>
    <w:rsid w:val="0BB42C73"/>
    <w:rsid w:val="0BBF0D07"/>
    <w:rsid w:val="0BDF1882"/>
    <w:rsid w:val="0BE45392"/>
    <w:rsid w:val="0BEF5C45"/>
    <w:rsid w:val="0BFD0200"/>
    <w:rsid w:val="0C0E62B5"/>
    <w:rsid w:val="0C107E8F"/>
    <w:rsid w:val="0C1F2FA6"/>
    <w:rsid w:val="0C265C2D"/>
    <w:rsid w:val="0C2819BF"/>
    <w:rsid w:val="0C29592D"/>
    <w:rsid w:val="0C2D2944"/>
    <w:rsid w:val="0C2F1B5A"/>
    <w:rsid w:val="0C3E7D5E"/>
    <w:rsid w:val="0C507F05"/>
    <w:rsid w:val="0C664470"/>
    <w:rsid w:val="0C733D56"/>
    <w:rsid w:val="0C971AB7"/>
    <w:rsid w:val="0C9966F4"/>
    <w:rsid w:val="0CB142C9"/>
    <w:rsid w:val="0CC1154F"/>
    <w:rsid w:val="0CCC39BF"/>
    <w:rsid w:val="0CD43FDA"/>
    <w:rsid w:val="0CD754B3"/>
    <w:rsid w:val="0CDA4B68"/>
    <w:rsid w:val="0CE61FBD"/>
    <w:rsid w:val="0CEB0C75"/>
    <w:rsid w:val="0D0052EC"/>
    <w:rsid w:val="0D1937FC"/>
    <w:rsid w:val="0D214367"/>
    <w:rsid w:val="0D405DAA"/>
    <w:rsid w:val="0D9C45A3"/>
    <w:rsid w:val="0DA739A4"/>
    <w:rsid w:val="0DBA2957"/>
    <w:rsid w:val="0E0C3C47"/>
    <w:rsid w:val="0E0F454F"/>
    <w:rsid w:val="0E32706F"/>
    <w:rsid w:val="0E3E528D"/>
    <w:rsid w:val="0E43310E"/>
    <w:rsid w:val="0E454BFC"/>
    <w:rsid w:val="0E547151"/>
    <w:rsid w:val="0E8A405A"/>
    <w:rsid w:val="0E9B77FC"/>
    <w:rsid w:val="0EB519D8"/>
    <w:rsid w:val="0EBC5B62"/>
    <w:rsid w:val="0EC04987"/>
    <w:rsid w:val="0ECB7E0F"/>
    <w:rsid w:val="0ED53E48"/>
    <w:rsid w:val="0EEA209F"/>
    <w:rsid w:val="0EF04E59"/>
    <w:rsid w:val="0EF24AE2"/>
    <w:rsid w:val="0F4D460B"/>
    <w:rsid w:val="0F69239A"/>
    <w:rsid w:val="0F7870CD"/>
    <w:rsid w:val="0F8F2844"/>
    <w:rsid w:val="0FAD6C57"/>
    <w:rsid w:val="0FB24C91"/>
    <w:rsid w:val="0FB644CF"/>
    <w:rsid w:val="0FBC1827"/>
    <w:rsid w:val="0FC83662"/>
    <w:rsid w:val="0FD60E0E"/>
    <w:rsid w:val="0FD96660"/>
    <w:rsid w:val="0FE353A5"/>
    <w:rsid w:val="0FF63DAF"/>
    <w:rsid w:val="10181D33"/>
    <w:rsid w:val="104130A9"/>
    <w:rsid w:val="104453D5"/>
    <w:rsid w:val="10486CFB"/>
    <w:rsid w:val="104A68AD"/>
    <w:rsid w:val="104F3FCB"/>
    <w:rsid w:val="105B78FE"/>
    <w:rsid w:val="105D13C1"/>
    <w:rsid w:val="10681A22"/>
    <w:rsid w:val="10747AC2"/>
    <w:rsid w:val="10837D11"/>
    <w:rsid w:val="10957342"/>
    <w:rsid w:val="10AC0B88"/>
    <w:rsid w:val="10B14313"/>
    <w:rsid w:val="10B1655D"/>
    <w:rsid w:val="10B44F85"/>
    <w:rsid w:val="10B776CF"/>
    <w:rsid w:val="10C9431D"/>
    <w:rsid w:val="10D17210"/>
    <w:rsid w:val="10D317CA"/>
    <w:rsid w:val="10DA279E"/>
    <w:rsid w:val="10DB0B79"/>
    <w:rsid w:val="10E94DAA"/>
    <w:rsid w:val="10F447E4"/>
    <w:rsid w:val="1101457F"/>
    <w:rsid w:val="11083C5A"/>
    <w:rsid w:val="11171606"/>
    <w:rsid w:val="1136212B"/>
    <w:rsid w:val="113D503A"/>
    <w:rsid w:val="114617FE"/>
    <w:rsid w:val="114744B9"/>
    <w:rsid w:val="114804A5"/>
    <w:rsid w:val="115D3B69"/>
    <w:rsid w:val="11683963"/>
    <w:rsid w:val="11694E19"/>
    <w:rsid w:val="11715399"/>
    <w:rsid w:val="117B66E6"/>
    <w:rsid w:val="118107C5"/>
    <w:rsid w:val="11835746"/>
    <w:rsid w:val="11852D3C"/>
    <w:rsid w:val="11945DF3"/>
    <w:rsid w:val="11971A72"/>
    <w:rsid w:val="11AB264B"/>
    <w:rsid w:val="11B0409A"/>
    <w:rsid w:val="11B84058"/>
    <w:rsid w:val="11D824EC"/>
    <w:rsid w:val="11D972EE"/>
    <w:rsid w:val="11DA0DC2"/>
    <w:rsid w:val="11E0057A"/>
    <w:rsid w:val="11E725F5"/>
    <w:rsid w:val="12151C7F"/>
    <w:rsid w:val="12193126"/>
    <w:rsid w:val="12236AEF"/>
    <w:rsid w:val="1234356C"/>
    <w:rsid w:val="12343FC6"/>
    <w:rsid w:val="123922F2"/>
    <w:rsid w:val="1243486B"/>
    <w:rsid w:val="124933C3"/>
    <w:rsid w:val="124E7D6F"/>
    <w:rsid w:val="1278219B"/>
    <w:rsid w:val="128920BD"/>
    <w:rsid w:val="12980B65"/>
    <w:rsid w:val="12A3063F"/>
    <w:rsid w:val="12AD2011"/>
    <w:rsid w:val="12B32938"/>
    <w:rsid w:val="12B55ABD"/>
    <w:rsid w:val="12B61642"/>
    <w:rsid w:val="12BB6307"/>
    <w:rsid w:val="12C42761"/>
    <w:rsid w:val="12DE2E4C"/>
    <w:rsid w:val="12E52CFC"/>
    <w:rsid w:val="12F472F8"/>
    <w:rsid w:val="132B54DD"/>
    <w:rsid w:val="132D02F7"/>
    <w:rsid w:val="133A4E7C"/>
    <w:rsid w:val="133E3A2F"/>
    <w:rsid w:val="13407054"/>
    <w:rsid w:val="1347637A"/>
    <w:rsid w:val="13516F57"/>
    <w:rsid w:val="135365EA"/>
    <w:rsid w:val="13551D60"/>
    <w:rsid w:val="13580386"/>
    <w:rsid w:val="13636AF4"/>
    <w:rsid w:val="137A6815"/>
    <w:rsid w:val="137C5099"/>
    <w:rsid w:val="139172D3"/>
    <w:rsid w:val="13A17E1D"/>
    <w:rsid w:val="13A66F31"/>
    <w:rsid w:val="13A87193"/>
    <w:rsid w:val="13CD22C6"/>
    <w:rsid w:val="13DD10A1"/>
    <w:rsid w:val="140318AF"/>
    <w:rsid w:val="14112A54"/>
    <w:rsid w:val="14175D21"/>
    <w:rsid w:val="14323EFF"/>
    <w:rsid w:val="14336D60"/>
    <w:rsid w:val="143C00F9"/>
    <w:rsid w:val="143F7AF4"/>
    <w:rsid w:val="14664DDF"/>
    <w:rsid w:val="146954B5"/>
    <w:rsid w:val="146F1C00"/>
    <w:rsid w:val="14975838"/>
    <w:rsid w:val="1498095A"/>
    <w:rsid w:val="149D3EDB"/>
    <w:rsid w:val="14B776FB"/>
    <w:rsid w:val="14BA0771"/>
    <w:rsid w:val="14CE3B3D"/>
    <w:rsid w:val="14D35D9E"/>
    <w:rsid w:val="14D41073"/>
    <w:rsid w:val="14DE04F6"/>
    <w:rsid w:val="14F20904"/>
    <w:rsid w:val="14F55286"/>
    <w:rsid w:val="14F56013"/>
    <w:rsid w:val="14F91732"/>
    <w:rsid w:val="150416B2"/>
    <w:rsid w:val="15170AD1"/>
    <w:rsid w:val="1518098B"/>
    <w:rsid w:val="151C24B5"/>
    <w:rsid w:val="151F7692"/>
    <w:rsid w:val="15304BF0"/>
    <w:rsid w:val="15592079"/>
    <w:rsid w:val="155E03AB"/>
    <w:rsid w:val="15846D47"/>
    <w:rsid w:val="158E16A0"/>
    <w:rsid w:val="15AF0067"/>
    <w:rsid w:val="15B522FC"/>
    <w:rsid w:val="15B637C1"/>
    <w:rsid w:val="15B916AF"/>
    <w:rsid w:val="15C7650E"/>
    <w:rsid w:val="15CA382F"/>
    <w:rsid w:val="15CB01DE"/>
    <w:rsid w:val="15E36279"/>
    <w:rsid w:val="15E3799C"/>
    <w:rsid w:val="15F35450"/>
    <w:rsid w:val="15F77442"/>
    <w:rsid w:val="16053F83"/>
    <w:rsid w:val="16074AF7"/>
    <w:rsid w:val="162C2F84"/>
    <w:rsid w:val="16405D45"/>
    <w:rsid w:val="16682041"/>
    <w:rsid w:val="167B45E7"/>
    <w:rsid w:val="167F2B7D"/>
    <w:rsid w:val="168A02C6"/>
    <w:rsid w:val="169C3739"/>
    <w:rsid w:val="169F3432"/>
    <w:rsid w:val="16D12DCF"/>
    <w:rsid w:val="16F67C6D"/>
    <w:rsid w:val="16F86361"/>
    <w:rsid w:val="17042A0F"/>
    <w:rsid w:val="17051DEF"/>
    <w:rsid w:val="170C14B3"/>
    <w:rsid w:val="170D2CF2"/>
    <w:rsid w:val="17111A55"/>
    <w:rsid w:val="17111CDE"/>
    <w:rsid w:val="171877AE"/>
    <w:rsid w:val="172E1335"/>
    <w:rsid w:val="17360D5D"/>
    <w:rsid w:val="173D405C"/>
    <w:rsid w:val="17613F76"/>
    <w:rsid w:val="1768135A"/>
    <w:rsid w:val="17717B70"/>
    <w:rsid w:val="179E243C"/>
    <w:rsid w:val="17C314E1"/>
    <w:rsid w:val="17C3401C"/>
    <w:rsid w:val="17C816D4"/>
    <w:rsid w:val="17C86819"/>
    <w:rsid w:val="17CB4230"/>
    <w:rsid w:val="17D42C03"/>
    <w:rsid w:val="17E04D27"/>
    <w:rsid w:val="17E93584"/>
    <w:rsid w:val="17FB7EEF"/>
    <w:rsid w:val="181A0D22"/>
    <w:rsid w:val="182077BA"/>
    <w:rsid w:val="182B526F"/>
    <w:rsid w:val="1837120D"/>
    <w:rsid w:val="183A79C6"/>
    <w:rsid w:val="183E121E"/>
    <w:rsid w:val="18665DEA"/>
    <w:rsid w:val="188B2739"/>
    <w:rsid w:val="1893720A"/>
    <w:rsid w:val="18AB28C3"/>
    <w:rsid w:val="18D338BF"/>
    <w:rsid w:val="18D441AE"/>
    <w:rsid w:val="18E55A46"/>
    <w:rsid w:val="18F23CBE"/>
    <w:rsid w:val="18F2643D"/>
    <w:rsid w:val="19142979"/>
    <w:rsid w:val="19151CCF"/>
    <w:rsid w:val="19302497"/>
    <w:rsid w:val="194509B3"/>
    <w:rsid w:val="195651BA"/>
    <w:rsid w:val="19807A8B"/>
    <w:rsid w:val="198774CC"/>
    <w:rsid w:val="198F45DD"/>
    <w:rsid w:val="19915068"/>
    <w:rsid w:val="19A222EB"/>
    <w:rsid w:val="19B33052"/>
    <w:rsid w:val="19CD1F1F"/>
    <w:rsid w:val="19EA51F2"/>
    <w:rsid w:val="1A0A77CB"/>
    <w:rsid w:val="1A38028B"/>
    <w:rsid w:val="1A3A3361"/>
    <w:rsid w:val="1A630E72"/>
    <w:rsid w:val="1A8F6291"/>
    <w:rsid w:val="1AA26902"/>
    <w:rsid w:val="1AAA162B"/>
    <w:rsid w:val="1AB00207"/>
    <w:rsid w:val="1ABE7D37"/>
    <w:rsid w:val="1AC1475C"/>
    <w:rsid w:val="1AC349EC"/>
    <w:rsid w:val="1ACB1123"/>
    <w:rsid w:val="1ACB763A"/>
    <w:rsid w:val="1AE156DF"/>
    <w:rsid w:val="1AEA5F9F"/>
    <w:rsid w:val="1B0B5771"/>
    <w:rsid w:val="1B1B27AF"/>
    <w:rsid w:val="1B1C721E"/>
    <w:rsid w:val="1B3203C8"/>
    <w:rsid w:val="1B49314C"/>
    <w:rsid w:val="1B5A46B2"/>
    <w:rsid w:val="1B603C40"/>
    <w:rsid w:val="1B6E5CF6"/>
    <w:rsid w:val="1B8A1B75"/>
    <w:rsid w:val="1B9962E4"/>
    <w:rsid w:val="1BAA0B6E"/>
    <w:rsid w:val="1BAD0C42"/>
    <w:rsid w:val="1BAF614E"/>
    <w:rsid w:val="1BC97CEF"/>
    <w:rsid w:val="1BCE12C8"/>
    <w:rsid w:val="1BD2234E"/>
    <w:rsid w:val="1BD26B49"/>
    <w:rsid w:val="1BE34E5A"/>
    <w:rsid w:val="1BE642DE"/>
    <w:rsid w:val="1C064126"/>
    <w:rsid w:val="1C0B132B"/>
    <w:rsid w:val="1C0D60B9"/>
    <w:rsid w:val="1C215368"/>
    <w:rsid w:val="1C2A42D6"/>
    <w:rsid w:val="1C496310"/>
    <w:rsid w:val="1C5B5BA6"/>
    <w:rsid w:val="1C5D4224"/>
    <w:rsid w:val="1C6977F0"/>
    <w:rsid w:val="1C8333DC"/>
    <w:rsid w:val="1C84031E"/>
    <w:rsid w:val="1C8A0BBA"/>
    <w:rsid w:val="1CC7505B"/>
    <w:rsid w:val="1CF4387A"/>
    <w:rsid w:val="1CF457CF"/>
    <w:rsid w:val="1CFB589A"/>
    <w:rsid w:val="1D034716"/>
    <w:rsid w:val="1D07576E"/>
    <w:rsid w:val="1D1719DC"/>
    <w:rsid w:val="1D30736D"/>
    <w:rsid w:val="1D3C0161"/>
    <w:rsid w:val="1D422177"/>
    <w:rsid w:val="1D8207BA"/>
    <w:rsid w:val="1D90388F"/>
    <w:rsid w:val="1DAD6137"/>
    <w:rsid w:val="1E3039E3"/>
    <w:rsid w:val="1E4520D8"/>
    <w:rsid w:val="1E554951"/>
    <w:rsid w:val="1E6D5C0B"/>
    <w:rsid w:val="1EA36749"/>
    <w:rsid w:val="1EAA4610"/>
    <w:rsid w:val="1EB31204"/>
    <w:rsid w:val="1EB33B73"/>
    <w:rsid w:val="1EC252C2"/>
    <w:rsid w:val="1ED1571A"/>
    <w:rsid w:val="1ED5007C"/>
    <w:rsid w:val="1ED82AF4"/>
    <w:rsid w:val="1EF65EA1"/>
    <w:rsid w:val="1EFB1085"/>
    <w:rsid w:val="1EFB3072"/>
    <w:rsid w:val="1F2357DD"/>
    <w:rsid w:val="1F2D6606"/>
    <w:rsid w:val="1F3B60E9"/>
    <w:rsid w:val="1F4737BB"/>
    <w:rsid w:val="1F5F6A1B"/>
    <w:rsid w:val="1F7F1019"/>
    <w:rsid w:val="1F9328A4"/>
    <w:rsid w:val="1F9675F9"/>
    <w:rsid w:val="1FAE4BDC"/>
    <w:rsid w:val="1FBF2091"/>
    <w:rsid w:val="1FE76CBC"/>
    <w:rsid w:val="1FEC2D1A"/>
    <w:rsid w:val="1FF037A6"/>
    <w:rsid w:val="1FF10563"/>
    <w:rsid w:val="1FF75679"/>
    <w:rsid w:val="1FFA2E6A"/>
    <w:rsid w:val="200D128C"/>
    <w:rsid w:val="202300F8"/>
    <w:rsid w:val="20302DEE"/>
    <w:rsid w:val="205516BE"/>
    <w:rsid w:val="20564DCD"/>
    <w:rsid w:val="20623E6F"/>
    <w:rsid w:val="206836CC"/>
    <w:rsid w:val="20731C3B"/>
    <w:rsid w:val="208166FD"/>
    <w:rsid w:val="208F7F03"/>
    <w:rsid w:val="20924364"/>
    <w:rsid w:val="209959DD"/>
    <w:rsid w:val="209E0CEA"/>
    <w:rsid w:val="20C305DA"/>
    <w:rsid w:val="20CC28F4"/>
    <w:rsid w:val="20E53CD4"/>
    <w:rsid w:val="210C4400"/>
    <w:rsid w:val="210F1BFC"/>
    <w:rsid w:val="2142448C"/>
    <w:rsid w:val="21450AD7"/>
    <w:rsid w:val="2159526B"/>
    <w:rsid w:val="2162361E"/>
    <w:rsid w:val="21670864"/>
    <w:rsid w:val="216D33DF"/>
    <w:rsid w:val="21736614"/>
    <w:rsid w:val="218074A6"/>
    <w:rsid w:val="21903E83"/>
    <w:rsid w:val="2194377E"/>
    <w:rsid w:val="21AA58B2"/>
    <w:rsid w:val="21CA5739"/>
    <w:rsid w:val="21D16B1F"/>
    <w:rsid w:val="21D21E52"/>
    <w:rsid w:val="21E23CAE"/>
    <w:rsid w:val="21E82E9B"/>
    <w:rsid w:val="21F25746"/>
    <w:rsid w:val="22126D3F"/>
    <w:rsid w:val="22291576"/>
    <w:rsid w:val="22297C38"/>
    <w:rsid w:val="223559D1"/>
    <w:rsid w:val="224328B1"/>
    <w:rsid w:val="225C1DC1"/>
    <w:rsid w:val="227B4B61"/>
    <w:rsid w:val="22924CFF"/>
    <w:rsid w:val="22A129F3"/>
    <w:rsid w:val="22B3324D"/>
    <w:rsid w:val="22B94F9F"/>
    <w:rsid w:val="22D647F5"/>
    <w:rsid w:val="22D812D1"/>
    <w:rsid w:val="22E754FB"/>
    <w:rsid w:val="22F1676A"/>
    <w:rsid w:val="230317E8"/>
    <w:rsid w:val="232655AC"/>
    <w:rsid w:val="233C1AAA"/>
    <w:rsid w:val="234353F0"/>
    <w:rsid w:val="2347785B"/>
    <w:rsid w:val="235E18C3"/>
    <w:rsid w:val="2371508E"/>
    <w:rsid w:val="237960DC"/>
    <w:rsid w:val="237D7DB7"/>
    <w:rsid w:val="238C5714"/>
    <w:rsid w:val="23A15217"/>
    <w:rsid w:val="23AD60D7"/>
    <w:rsid w:val="23B6172C"/>
    <w:rsid w:val="23BA4644"/>
    <w:rsid w:val="23C3784C"/>
    <w:rsid w:val="23E915DC"/>
    <w:rsid w:val="24173FA2"/>
    <w:rsid w:val="242521B0"/>
    <w:rsid w:val="24282C00"/>
    <w:rsid w:val="245668B7"/>
    <w:rsid w:val="245743B5"/>
    <w:rsid w:val="247513E0"/>
    <w:rsid w:val="24891C77"/>
    <w:rsid w:val="248F1AB3"/>
    <w:rsid w:val="24906FE4"/>
    <w:rsid w:val="24A327C2"/>
    <w:rsid w:val="24C43B66"/>
    <w:rsid w:val="24CD4542"/>
    <w:rsid w:val="24D96917"/>
    <w:rsid w:val="24E12EB4"/>
    <w:rsid w:val="24FE280B"/>
    <w:rsid w:val="25292229"/>
    <w:rsid w:val="25390BF3"/>
    <w:rsid w:val="254174D0"/>
    <w:rsid w:val="254D297C"/>
    <w:rsid w:val="255E7151"/>
    <w:rsid w:val="256D5CE7"/>
    <w:rsid w:val="257440D9"/>
    <w:rsid w:val="258029C2"/>
    <w:rsid w:val="25933989"/>
    <w:rsid w:val="25B43DEF"/>
    <w:rsid w:val="25B81417"/>
    <w:rsid w:val="25BB704A"/>
    <w:rsid w:val="25BF64F7"/>
    <w:rsid w:val="25C23B70"/>
    <w:rsid w:val="25C7306A"/>
    <w:rsid w:val="25E1361F"/>
    <w:rsid w:val="25ED64AF"/>
    <w:rsid w:val="25FB3C17"/>
    <w:rsid w:val="25FE407C"/>
    <w:rsid w:val="25FF5910"/>
    <w:rsid w:val="26095AAE"/>
    <w:rsid w:val="262352D0"/>
    <w:rsid w:val="263660E8"/>
    <w:rsid w:val="263A27E7"/>
    <w:rsid w:val="263B675A"/>
    <w:rsid w:val="26434C04"/>
    <w:rsid w:val="2643689B"/>
    <w:rsid w:val="26552E25"/>
    <w:rsid w:val="265C4782"/>
    <w:rsid w:val="2665221D"/>
    <w:rsid w:val="26834E5C"/>
    <w:rsid w:val="26894387"/>
    <w:rsid w:val="268E147D"/>
    <w:rsid w:val="26925E46"/>
    <w:rsid w:val="2699561B"/>
    <w:rsid w:val="26C832A6"/>
    <w:rsid w:val="26C86BBA"/>
    <w:rsid w:val="26D003B8"/>
    <w:rsid w:val="26D4632B"/>
    <w:rsid w:val="26D9054A"/>
    <w:rsid w:val="26E33975"/>
    <w:rsid w:val="26EB466B"/>
    <w:rsid w:val="26F00518"/>
    <w:rsid w:val="271467B1"/>
    <w:rsid w:val="272C1372"/>
    <w:rsid w:val="2745377C"/>
    <w:rsid w:val="2747785B"/>
    <w:rsid w:val="275470A4"/>
    <w:rsid w:val="275B2345"/>
    <w:rsid w:val="27680152"/>
    <w:rsid w:val="279705A3"/>
    <w:rsid w:val="27980AF5"/>
    <w:rsid w:val="279E5401"/>
    <w:rsid w:val="27A74090"/>
    <w:rsid w:val="27B83C97"/>
    <w:rsid w:val="27C759A5"/>
    <w:rsid w:val="27CA3D1A"/>
    <w:rsid w:val="27D46199"/>
    <w:rsid w:val="27E042EC"/>
    <w:rsid w:val="27F70F43"/>
    <w:rsid w:val="2800545B"/>
    <w:rsid w:val="281C0266"/>
    <w:rsid w:val="282A1C25"/>
    <w:rsid w:val="283829FE"/>
    <w:rsid w:val="283E7E95"/>
    <w:rsid w:val="28425FD1"/>
    <w:rsid w:val="28462FDE"/>
    <w:rsid w:val="284934BD"/>
    <w:rsid w:val="2853625E"/>
    <w:rsid w:val="28562924"/>
    <w:rsid w:val="2859014D"/>
    <w:rsid w:val="28650795"/>
    <w:rsid w:val="28664EF0"/>
    <w:rsid w:val="286A1444"/>
    <w:rsid w:val="28721EE9"/>
    <w:rsid w:val="287434AF"/>
    <w:rsid w:val="28840AAD"/>
    <w:rsid w:val="28954ED3"/>
    <w:rsid w:val="28B52071"/>
    <w:rsid w:val="28C82643"/>
    <w:rsid w:val="28C84E6C"/>
    <w:rsid w:val="28CB50BA"/>
    <w:rsid w:val="292D2052"/>
    <w:rsid w:val="294551CD"/>
    <w:rsid w:val="294A6012"/>
    <w:rsid w:val="2970613C"/>
    <w:rsid w:val="297D4D9D"/>
    <w:rsid w:val="2983647A"/>
    <w:rsid w:val="29937C67"/>
    <w:rsid w:val="29941922"/>
    <w:rsid w:val="29941C1E"/>
    <w:rsid w:val="299B6A65"/>
    <w:rsid w:val="29AB5677"/>
    <w:rsid w:val="29B83975"/>
    <w:rsid w:val="29B975F3"/>
    <w:rsid w:val="29C36304"/>
    <w:rsid w:val="29D323EE"/>
    <w:rsid w:val="29E84436"/>
    <w:rsid w:val="2A0E2022"/>
    <w:rsid w:val="2A2B3586"/>
    <w:rsid w:val="2A5657DC"/>
    <w:rsid w:val="2A57432D"/>
    <w:rsid w:val="2A95478F"/>
    <w:rsid w:val="2A9C08F5"/>
    <w:rsid w:val="2ACB723C"/>
    <w:rsid w:val="2AD56754"/>
    <w:rsid w:val="2AD97AEA"/>
    <w:rsid w:val="2ADA009F"/>
    <w:rsid w:val="2AE63669"/>
    <w:rsid w:val="2AEB310F"/>
    <w:rsid w:val="2AF658D4"/>
    <w:rsid w:val="2AFF7F83"/>
    <w:rsid w:val="2B0428DA"/>
    <w:rsid w:val="2B0B6F2D"/>
    <w:rsid w:val="2B127E2E"/>
    <w:rsid w:val="2B243955"/>
    <w:rsid w:val="2B253735"/>
    <w:rsid w:val="2B34228A"/>
    <w:rsid w:val="2B3D17D9"/>
    <w:rsid w:val="2B457D8D"/>
    <w:rsid w:val="2B467E7E"/>
    <w:rsid w:val="2B562078"/>
    <w:rsid w:val="2B582DF2"/>
    <w:rsid w:val="2B657E42"/>
    <w:rsid w:val="2B713C99"/>
    <w:rsid w:val="2B770157"/>
    <w:rsid w:val="2BA93293"/>
    <w:rsid w:val="2BAB7BFA"/>
    <w:rsid w:val="2BB52FB9"/>
    <w:rsid w:val="2BB92FE6"/>
    <w:rsid w:val="2BBD31DA"/>
    <w:rsid w:val="2BC44501"/>
    <w:rsid w:val="2BE25CE4"/>
    <w:rsid w:val="2BF03FBB"/>
    <w:rsid w:val="2C1C6295"/>
    <w:rsid w:val="2C242FD8"/>
    <w:rsid w:val="2C4D417F"/>
    <w:rsid w:val="2C4F40DF"/>
    <w:rsid w:val="2C573138"/>
    <w:rsid w:val="2C5D3FA3"/>
    <w:rsid w:val="2C693C27"/>
    <w:rsid w:val="2C6A52B7"/>
    <w:rsid w:val="2C7A268E"/>
    <w:rsid w:val="2C81220C"/>
    <w:rsid w:val="2C8533C9"/>
    <w:rsid w:val="2C9178DD"/>
    <w:rsid w:val="2CA658E2"/>
    <w:rsid w:val="2CAC3DD7"/>
    <w:rsid w:val="2CB6466F"/>
    <w:rsid w:val="2CD00D1E"/>
    <w:rsid w:val="2CD53CB7"/>
    <w:rsid w:val="2CE627FA"/>
    <w:rsid w:val="2CF537F0"/>
    <w:rsid w:val="2CF960C1"/>
    <w:rsid w:val="2D007642"/>
    <w:rsid w:val="2D093C9F"/>
    <w:rsid w:val="2D116A54"/>
    <w:rsid w:val="2D137917"/>
    <w:rsid w:val="2D3248AD"/>
    <w:rsid w:val="2D3B7916"/>
    <w:rsid w:val="2D3C3CD7"/>
    <w:rsid w:val="2D3F3C6B"/>
    <w:rsid w:val="2D481513"/>
    <w:rsid w:val="2D6308F7"/>
    <w:rsid w:val="2D734147"/>
    <w:rsid w:val="2DAD31B5"/>
    <w:rsid w:val="2DB600C3"/>
    <w:rsid w:val="2DC4704C"/>
    <w:rsid w:val="2DD87EE1"/>
    <w:rsid w:val="2DDF0537"/>
    <w:rsid w:val="2DDF7012"/>
    <w:rsid w:val="2DE87A40"/>
    <w:rsid w:val="2DE94B25"/>
    <w:rsid w:val="2DEB10F4"/>
    <w:rsid w:val="2E15347E"/>
    <w:rsid w:val="2E173F56"/>
    <w:rsid w:val="2E29079C"/>
    <w:rsid w:val="2E3176EA"/>
    <w:rsid w:val="2E337718"/>
    <w:rsid w:val="2E48670E"/>
    <w:rsid w:val="2E4F3471"/>
    <w:rsid w:val="2E5136AC"/>
    <w:rsid w:val="2E6637FF"/>
    <w:rsid w:val="2E97162C"/>
    <w:rsid w:val="2EA0185E"/>
    <w:rsid w:val="2EA24C4B"/>
    <w:rsid w:val="2EB82843"/>
    <w:rsid w:val="2ECA45C2"/>
    <w:rsid w:val="2ED85C6D"/>
    <w:rsid w:val="2F021C35"/>
    <w:rsid w:val="2F04069A"/>
    <w:rsid w:val="2F047476"/>
    <w:rsid w:val="2F253BC7"/>
    <w:rsid w:val="2F260163"/>
    <w:rsid w:val="2F341996"/>
    <w:rsid w:val="2F3C148B"/>
    <w:rsid w:val="2F4769CA"/>
    <w:rsid w:val="2F5C48AD"/>
    <w:rsid w:val="2F6231F5"/>
    <w:rsid w:val="2FA06262"/>
    <w:rsid w:val="2FA97745"/>
    <w:rsid w:val="2FAE0E39"/>
    <w:rsid w:val="2FB76EB7"/>
    <w:rsid w:val="2FCA4F0D"/>
    <w:rsid w:val="2FCC6B0C"/>
    <w:rsid w:val="2FD008FD"/>
    <w:rsid w:val="2FEC5770"/>
    <w:rsid w:val="2FF930CF"/>
    <w:rsid w:val="300F788C"/>
    <w:rsid w:val="30153B36"/>
    <w:rsid w:val="30175210"/>
    <w:rsid w:val="302C4F0F"/>
    <w:rsid w:val="3033653A"/>
    <w:rsid w:val="303B52FB"/>
    <w:rsid w:val="303F2AF5"/>
    <w:rsid w:val="3041115F"/>
    <w:rsid w:val="304A4993"/>
    <w:rsid w:val="307A4E17"/>
    <w:rsid w:val="307B757A"/>
    <w:rsid w:val="30895361"/>
    <w:rsid w:val="3099114B"/>
    <w:rsid w:val="30A360F5"/>
    <w:rsid w:val="30C756BE"/>
    <w:rsid w:val="30CA6F81"/>
    <w:rsid w:val="30CE4746"/>
    <w:rsid w:val="30D46F69"/>
    <w:rsid w:val="30D64227"/>
    <w:rsid w:val="30E6230C"/>
    <w:rsid w:val="30EC4B0C"/>
    <w:rsid w:val="30ED4DE0"/>
    <w:rsid w:val="30ED594E"/>
    <w:rsid w:val="30EE234C"/>
    <w:rsid w:val="30F53179"/>
    <w:rsid w:val="31163901"/>
    <w:rsid w:val="31292709"/>
    <w:rsid w:val="313D50A2"/>
    <w:rsid w:val="3169143F"/>
    <w:rsid w:val="31801027"/>
    <w:rsid w:val="3190731A"/>
    <w:rsid w:val="31B40671"/>
    <w:rsid w:val="31C37B00"/>
    <w:rsid w:val="31C5104B"/>
    <w:rsid w:val="31C7380D"/>
    <w:rsid w:val="31D02D2E"/>
    <w:rsid w:val="31DD059B"/>
    <w:rsid w:val="31ED3D77"/>
    <w:rsid w:val="31F10219"/>
    <w:rsid w:val="320A19F5"/>
    <w:rsid w:val="32115902"/>
    <w:rsid w:val="32266836"/>
    <w:rsid w:val="322778DC"/>
    <w:rsid w:val="323D35EB"/>
    <w:rsid w:val="326E6892"/>
    <w:rsid w:val="32E1581D"/>
    <w:rsid w:val="32F876FF"/>
    <w:rsid w:val="32FE5556"/>
    <w:rsid w:val="332C2B7F"/>
    <w:rsid w:val="332E14A4"/>
    <w:rsid w:val="333B0D93"/>
    <w:rsid w:val="334130CB"/>
    <w:rsid w:val="33425FA9"/>
    <w:rsid w:val="33571800"/>
    <w:rsid w:val="33682310"/>
    <w:rsid w:val="33684FCD"/>
    <w:rsid w:val="33774D25"/>
    <w:rsid w:val="33960164"/>
    <w:rsid w:val="33965837"/>
    <w:rsid w:val="33AA50E6"/>
    <w:rsid w:val="33B43DDB"/>
    <w:rsid w:val="33BE68D9"/>
    <w:rsid w:val="33D67D44"/>
    <w:rsid w:val="33F23949"/>
    <w:rsid w:val="33FD0C15"/>
    <w:rsid w:val="340A1C93"/>
    <w:rsid w:val="34141D5B"/>
    <w:rsid w:val="34205083"/>
    <w:rsid w:val="343015F8"/>
    <w:rsid w:val="34443420"/>
    <w:rsid w:val="34561EE4"/>
    <w:rsid w:val="348C273F"/>
    <w:rsid w:val="349136F6"/>
    <w:rsid w:val="34942631"/>
    <w:rsid w:val="34971E3A"/>
    <w:rsid w:val="34A07A52"/>
    <w:rsid w:val="34C31F31"/>
    <w:rsid w:val="34CF616F"/>
    <w:rsid w:val="352241C9"/>
    <w:rsid w:val="3522430E"/>
    <w:rsid w:val="352E0F08"/>
    <w:rsid w:val="35322E3A"/>
    <w:rsid w:val="354305B7"/>
    <w:rsid w:val="354778CA"/>
    <w:rsid w:val="35584043"/>
    <w:rsid w:val="356237AD"/>
    <w:rsid w:val="356A450E"/>
    <w:rsid w:val="35720CDB"/>
    <w:rsid w:val="357A0F1C"/>
    <w:rsid w:val="3583432C"/>
    <w:rsid w:val="35871831"/>
    <w:rsid w:val="35977160"/>
    <w:rsid w:val="35A16DF3"/>
    <w:rsid w:val="35AE297C"/>
    <w:rsid w:val="35AF008E"/>
    <w:rsid w:val="35C5761C"/>
    <w:rsid w:val="35C77C13"/>
    <w:rsid w:val="35D0376B"/>
    <w:rsid w:val="35E777ED"/>
    <w:rsid w:val="35F43B91"/>
    <w:rsid w:val="35F57FC4"/>
    <w:rsid w:val="35F72C7E"/>
    <w:rsid w:val="35F90220"/>
    <w:rsid w:val="35FF1ADE"/>
    <w:rsid w:val="360258DD"/>
    <w:rsid w:val="36041304"/>
    <w:rsid w:val="3608653F"/>
    <w:rsid w:val="363B38FC"/>
    <w:rsid w:val="36466BB2"/>
    <w:rsid w:val="36496D31"/>
    <w:rsid w:val="364B0D36"/>
    <w:rsid w:val="36543BE9"/>
    <w:rsid w:val="368222B0"/>
    <w:rsid w:val="36A4320C"/>
    <w:rsid w:val="36A53083"/>
    <w:rsid w:val="36C319A9"/>
    <w:rsid w:val="36D53214"/>
    <w:rsid w:val="36DA1A7B"/>
    <w:rsid w:val="36FF77BD"/>
    <w:rsid w:val="372B16AC"/>
    <w:rsid w:val="373C7526"/>
    <w:rsid w:val="37456AB9"/>
    <w:rsid w:val="37477649"/>
    <w:rsid w:val="374B3E95"/>
    <w:rsid w:val="375F0BA1"/>
    <w:rsid w:val="378010FA"/>
    <w:rsid w:val="37927882"/>
    <w:rsid w:val="37A51C84"/>
    <w:rsid w:val="37AA6900"/>
    <w:rsid w:val="37AC07AE"/>
    <w:rsid w:val="37BB7478"/>
    <w:rsid w:val="37C23FA5"/>
    <w:rsid w:val="37E424B5"/>
    <w:rsid w:val="37F57667"/>
    <w:rsid w:val="381C3ECF"/>
    <w:rsid w:val="382C159C"/>
    <w:rsid w:val="3837603F"/>
    <w:rsid w:val="384E0355"/>
    <w:rsid w:val="384E2CA0"/>
    <w:rsid w:val="3893067E"/>
    <w:rsid w:val="38B01DC2"/>
    <w:rsid w:val="38C04F3D"/>
    <w:rsid w:val="38C95870"/>
    <w:rsid w:val="38CB5B7C"/>
    <w:rsid w:val="38D20EA1"/>
    <w:rsid w:val="38D31AC2"/>
    <w:rsid w:val="39315B32"/>
    <w:rsid w:val="393B3636"/>
    <w:rsid w:val="39440AF6"/>
    <w:rsid w:val="39483619"/>
    <w:rsid w:val="395514B8"/>
    <w:rsid w:val="3970670D"/>
    <w:rsid w:val="39716403"/>
    <w:rsid w:val="39981DCE"/>
    <w:rsid w:val="39A20B0F"/>
    <w:rsid w:val="39A5659E"/>
    <w:rsid w:val="39AE267C"/>
    <w:rsid w:val="39BB5C0A"/>
    <w:rsid w:val="39E1752C"/>
    <w:rsid w:val="39F12DC4"/>
    <w:rsid w:val="39F6224E"/>
    <w:rsid w:val="3A0F3BAB"/>
    <w:rsid w:val="3A122B22"/>
    <w:rsid w:val="3A155EB4"/>
    <w:rsid w:val="3A194278"/>
    <w:rsid w:val="3A2071EB"/>
    <w:rsid w:val="3A2C60F1"/>
    <w:rsid w:val="3A387691"/>
    <w:rsid w:val="3A4622E9"/>
    <w:rsid w:val="3A881CA9"/>
    <w:rsid w:val="3A9E48B4"/>
    <w:rsid w:val="3ABF525B"/>
    <w:rsid w:val="3AC03274"/>
    <w:rsid w:val="3ACB73FF"/>
    <w:rsid w:val="3AE0144B"/>
    <w:rsid w:val="3AE83084"/>
    <w:rsid w:val="3AEF0B8B"/>
    <w:rsid w:val="3B0C3BD9"/>
    <w:rsid w:val="3B0D203A"/>
    <w:rsid w:val="3B0E10DC"/>
    <w:rsid w:val="3B27283F"/>
    <w:rsid w:val="3B3165C4"/>
    <w:rsid w:val="3B430300"/>
    <w:rsid w:val="3B601394"/>
    <w:rsid w:val="3B62433E"/>
    <w:rsid w:val="3B662F4E"/>
    <w:rsid w:val="3B676D15"/>
    <w:rsid w:val="3B6B0E42"/>
    <w:rsid w:val="3B9B2246"/>
    <w:rsid w:val="3BCC79D4"/>
    <w:rsid w:val="3BCF561C"/>
    <w:rsid w:val="3BD0022C"/>
    <w:rsid w:val="3BD21617"/>
    <w:rsid w:val="3BD56A88"/>
    <w:rsid w:val="3BE15BDA"/>
    <w:rsid w:val="3BEB316A"/>
    <w:rsid w:val="3C0B3AD3"/>
    <w:rsid w:val="3C1C72B8"/>
    <w:rsid w:val="3C1E4434"/>
    <w:rsid w:val="3C1F5DBE"/>
    <w:rsid w:val="3C266ADD"/>
    <w:rsid w:val="3C280168"/>
    <w:rsid w:val="3C284383"/>
    <w:rsid w:val="3C3730A7"/>
    <w:rsid w:val="3C512A11"/>
    <w:rsid w:val="3C5260AF"/>
    <w:rsid w:val="3C595F98"/>
    <w:rsid w:val="3C750C08"/>
    <w:rsid w:val="3C8118B2"/>
    <w:rsid w:val="3C823B45"/>
    <w:rsid w:val="3C8B2C9C"/>
    <w:rsid w:val="3C983BA7"/>
    <w:rsid w:val="3CA426AC"/>
    <w:rsid w:val="3CB140B9"/>
    <w:rsid w:val="3CBC5D86"/>
    <w:rsid w:val="3CCE514B"/>
    <w:rsid w:val="3CD33016"/>
    <w:rsid w:val="3CD426E5"/>
    <w:rsid w:val="3CD56EA4"/>
    <w:rsid w:val="3CD6618A"/>
    <w:rsid w:val="3CDA0948"/>
    <w:rsid w:val="3CDC4E15"/>
    <w:rsid w:val="3CEE6371"/>
    <w:rsid w:val="3CF102FC"/>
    <w:rsid w:val="3D0C0B33"/>
    <w:rsid w:val="3D306BDC"/>
    <w:rsid w:val="3D356995"/>
    <w:rsid w:val="3D380597"/>
    <w:rsid w:val="3D3D1C11"/>
    <w:rsid w:val="3D487201"/>
    <w:rsid w:val="3D5213E6"/>
    <w:rsid w:val="3D56549B"/>
    <w:rsid w:val="3D5C1467"/>
    <w:rsid w:val="3D65643B"/>
    <w:rsid w:val="3D6E6B93"/>
    <w:rsid w:val="3D703BF0"/>
    <w:rsid w:val="3D7265CA"/>
    <w:rsid w:val="3D785BA1"/>
    <w:rsid w:val="3D7B1CF7"/>
    <w:rsid w:val="3D8239A3"/>
    <w:rsid w:val="3D85492F"/>
    <w:rsid w:val="3D8A67E2"/>
    <w:rsid w:val="3D8F09F2"/>
    <w:rsid w:val="3D952C2C"/>
    <w:rsid w:val="3D9B6FE0"/>
    <w:rsid w:val="3DA428A5"/>
    <w:rsid w:val="3DAD6357"/>
    <w:rsid w:val="3DAF65F4"/>
    <w:rsid w:val="3DC13DCB"/>
    <w:rsid w:val="3DC8538F"/>
    <w:rsid w:val="3DD273C0"/>
    <w:rsid w:val="3DD63B21"/>
    <w:rsid w:val="3DE9747B"/>
    <w:rsid w:val="3DEA77D9"/>
    <w:rsid w:val="3E07287A"/>
    <w:rsid w:val="3E0B10CC"/>
    <w:rsid w:val="3E1178C8"/>
    <w:rsid w:val="3E2312FD"/>
    <w:rsid w:val="3E3B63E8"/>
    <w:rsid w:val="3E3D791D"/>
    <w:rsid w:val="3E593DD6"/>
    <w:rsid w:val="3E684612"/>
    <w:rsid w:val="3E7054CA"/>
    <w:rsid w:val="3E730B16"/>
    <w:rsid w:val="3E9C1C34"/>
    <w:rsid w:val="3EC50FAE"/>
    <w:rsid w:val="3ECB0BEB"/>
    <w:rsid w:val="3ED71EC8"/>
    <w:rsid w:val="3EE709E5"/>
    <w:rsid w:val="3F296E1F"/>
    <w:rsid w:val="3F2A701F"/>
    <w:rsid w:val="3F334234"/>
    <w:rsid w:val="3F3559C7"/>
    <w:rsid w:val="3F4A6BEE"/>
    <w:rsid w:val="3F635A8E"/>
    <w:rsid w:val="3F6E5241"/>
    <w:rsid w:val="3F816641"/>
    <w:rsid w:val="3F866F9A"/>
    <w:rsid w:val="3F985549"/>
    <w:rsid w:val="3F997E9B"/>
    <w:rsid w:val="3F9C06DD"/>
    <w:rsid w:val="3FBF2E82"/>
    <w:rsid w:val="3FC6310C"/>
    <w:rsid w:val="3FCA54FF"/>
    <w:rsid w:val="3FDF1D8D"/>
    <w:rsid w:val="3FE61A83"/>
    <w:rsid w:val="3FF83ECB"/>
    <w:rsid w:val="40053AEF"/>
    <w:rsid w:val="400C3E4D"/>
    <w:rsid w:val="401E5FEC"/>
    <w:rsid w:val="402160D3"/>
    <w:rsid w:val="40321010"/>
    <w:rsid w:val="403B0CF8"/>
    <w:rsid w:val="40633828"/>
    <w:rsid w:val="406760B6"/>
    <w:rsid w:val="406F7959"/>
    <w:rsid w:val="40705555"/>
    <w:rsid w:val="4072078C"/>
    <w:rsid w:val="40822E45"/>
    <w:rsid w:val="408E5CC4"/>
    <w:rsid w:val="40965CF7"/>
    <w:rsid w:val="40B1111B"/>
    <w:rsid w:val="40C14FC1"/>
    <w:rsid w:val="40D83249"/>
    <w:rsid w:val="40DA3DCB"/>
    <w:rsid w:val="40DC70CF"/>
    <w:rsid w:val="40F96AFB"/>
    <w:rsid w:val="411A5913"/>
    <w:rsid w:val="411C7057"/>
    <w:rsid w:val="41245CF6"/>
    <w:rsid w:val="412F37D8"/>
    <w:rsid w:val="413456B6"/>
    <w:rsid w:val="41393BD1"/>
    <w:rsid w:val="413C104D"/>
    <w:rsid w:val="414412F2"/>
    <w:rsid w:val="414A6FCE"/>
    <w:rsid w:val="41531C4B"/>
    <w:rsid w:val="417059C2"/>
    <w:rsid w:val="41707BB4"/>
    <w:rsid w:val="41844FAE"/>
    <w:rsid w:val="419068A2"/>
    <w:rsid w:val="4192041B"/>
    <w:rsid w:val="4193514E"/>
    <w:rsid w:val="41982583"/>
    <w:rsid w:val="41A50E7A"/>
    <w:rsid w:val="41C252D3"/>
    <w:rsid w:val="41D903AF"/>
    <w:rsid w:val="41E03D47"/>
    <w:rsid w:val="41E877DD"/>
    <w:rsid w:val="41E94D70"/>
    <w:rsid w:val="41EB2DB2"/>
    <w:rsid w:val="41EB6A19"/>
    <w:rsid w:val="41FF6C04"/>
    <w:rsid w:val="42185649"/>
    <w:rsid w:val="42400B21"/>
    <w:rsid w:val="42433069"/>
    <w:rsid w:val="424E280C"/>
    <w:rsid w:val="426176E6"/>
    <w:rsid w:val="426B17A5"/>
    <w:rsid w:val="42723ED4"/>
    <w:rsid w:val="42777C93"/>
    <w:rsid w:val="427A1A08"/>
    <w:rsid w:val="42915C5C"/>
    <w:rsid w:val="429E3367"/>
    <w:rsid w:val="42A15522"/>
    <w:rsid w:val="42B17DD3"/>
    <w:rsid w:val="42D065E0"/>
    <w:rsid w:val="42DB20AA"/>
    <w:rsid w:val="42F51CC3"/>
    <w:rsid w:val="42FA0840"/>
    <w:rsid w:val="42FB5FF2"/>
    <w:rsid w:val="43092BC3"/>
    <w:rsid w:val="430A5868"/>
    <w:rsid w:val="431A1819"/>
    <w:rsid w:val="431A322A"/>
    <w:rsid w:val="43262CC5"/>
    <w:rsid w:val="433117E9"/>
    <w:rsid w:val="43312DC1"/>
    <w:rsid w:val="43357A9E"/>
    <w:rsid w:val="43412CD8"/>
    <w:rsid w:val="434776FF"/>
    <w:rsid w:val="434D656B"/>
    <w:rsid w:val="43555EE3"/>
    <w:rsid w:val="43617944"/>
    <w:rsid w:val="43680576"/>
    <w:rsid w:val="43865B98"/>
    <w:rsid w:val="43963D50"/>
    <w:rsid w:val="439A1392"/>
    <w:rsid w:val="43A43D91"/>
    <w:rsid w:val="43A632D7"/>
    <w:rsid w:val="43BD75FA"/>
    <w:rsid w:val="43CD3969"/>
    <w:rsid w:val="43E80ACE"/>
    <w:rsid w:val="43F15ABD"/>
    <w:rsid w:val="43F94364"/>
    <w:rsid w:val="43FB33E4"/>
    <w:rsid w:val="440D6C09"/>
    <w:rsid w:val="4410746D"/>
    <w:rsid w:val="44126DB3"/>
    <w:rsid w:val="44160F6B"/>
    <w:rsid w:val="4430452A"/>
    <w:rsid w:val="44365DFA"/>
    <w:rsid w:val="4461660E"/>
    <w:rsid w:val="447115DC"/>
    <w:rsid w:val="447E29B7"/>
    <w:rsid w:val="448B64F5"/>
    <w:rsid w:val="449A4B0F"/>
    <w:rsid w:val="44A106CD"/>
    <w:rsid w:val="44A907C6"/>
    <w:rsid w:val="44B03859"/>
    <w:rsid w:val="44BA358D"/>
    <w:rsid w:val="44BD562D"/>
    <w:rsid w:val="44C21817"/>
    <w:rsid w:val="44CB318D"/>
    <w:rsid w:val="44CB7A1B"/>
    <w:rsid w:val="44E17CAC"/>
    <w:rsid w:val="44E43B87"/>
    <w:rsid w:val="44EE76DD"/>
    <w:rsid w:val="452B587C"/>
    <w:rsid w:val="453548E8"/>
    <w:rsid w:val="453E28FE"/>
    <w:rsid w:val="45611326"/>
    <w:rsid w:val="456D191E"/>
    <w:rsid w:val="45726BEF"/>
    <w:rsid w:val="458456F1"/>
    <w:rsid w:val="4590422C"/>
    <w:rsid w:val="45B13422"/>
    <w:rsid w:val="45DC62AB"/>
    <w:rsid w:val="45DF748F"/>
    <w:rsid w:val="45E21903"/>
    <w:rsid w:val="4625531B"/>
    <w:rsid w:val="4628635D"/>
    <w:rsid w:val="465768BA"/>
    <w:rsid w:val="465D56D3"/>
    <w:rsid w:val="467760C3"/>
    <w:rsid w:val="46917F79"/>
    <w:rsid w:val="46AF2C1F"/>
    <w:rsid w:val="46C462DE"/>
    <w:rsid w:val="46CC34BA"/>
    <w:rsid w:val="46DD6A6E"/>
    <w:rsid w:val="46DE0D98"/>
    <w:rsid w:val="46E52D55"/>
    <w:rsid w:val="46EC3759"/>
    <w:rsid w:val="46EC4D09"/>
    <w:rsid w:val="46EE0783"/>
    <w:rsid w:val="46F1644B"/>
    <w:rsid w:val="46F83D8E"/>
    <w:rsid w:val="46F954A5"/>
    <w:rsid w:val="46FF0644"/>
    <w:rsid w:val="470856BD"/>
    <w:rsid w:val="47090B7B"/>
    <w:rsid w:val="470A789B"/>
    <w:rsid w:val="47105D48"/>
    <w:rsid w:val="47350C68"/>
    <w:rsid w:val="474F725D"/>
    <w:rsid w:val="47597865"/>
    <w:rsid w:val="477A409E"/>
    <w:rsid w:val="477F3344"/>
    <w:rsid w:val="478A01B4"/>
    <w:rsid w:val="47BC4D37"/>
    <w:rsid w:val="47BF2FE6"/>
    <w:rsid w:val="47C156CF"/>
    <w:rsid w:val="47CF7D8D"/>
    <w:rsid w:val="47D56418"/>
    <w:rsid w:val="47D77046"/>
    <w:rsid w:val="47E0792F"/>
    <w:rsid w:val="48054750"/>
    <w:rsid w:val="48305DE6"/>
    <w:rsid w:val="48363D2A"/>
    <w:rsid w:val="485639B2"/>
    <w:rsid w:val="48611CC1"/>
    <w:rsid w:val="48625129"/>
    <w:rsid w:val="487E33C4"/>
    <w:rsid w:val="48A4429B"/>
    <w:rsid w:val="48B97A30"/>
    <w:rsid w:val="48BA283D"/>
    <w:rsid w:val="48BA2FD6"/>
    <w:rsid w:val="48C5262E"/>
    <w:rsid w:val="48F47421"/>
    <w:rsid w:val="48FF5299"/>
    <w:rsid w:val="49221605"/>
    <w:rsid w:val="49223F5E"/>
    <w:rsid w:val="49272AA6"/>
    <w:rsid w:val="49281E8C"/>
    <w:rsid w:val="49292BE8"/>
    <w:rsid w:val="49455F27"/>
    <w:rsid w:val="4950111F"/>
    <w:rsid w:val="495A2DAD"/>
    <w:rsid w:val="49650DE1"/>
    <w:rsid w:val="49787677"/>
    <w:rsid w:val="49792A47"/>
    <w:rsid w:val="49802CB2"/>
    <w:rsid w:val="498071EE"/>
    <w:rsid w:val="49AD07BA"/>
    <w:rsid w:val="49B82717"/>
    <w:rsid w:val="49BA4CC0"/>
    <w:rsid w:val="4A0026DB"/>
    <w:rsid w:val="4A0B38B7"/>
    <w:rsid w:val="4A16099C"/>
    <w:rsid w:val="4A2328EA"/>
    <w:rsid w:val="4A2550C2"/>
    <w:rsid w:val="4A522CC2"/>
    <w:rsid w:val="4A557866"/>
    <w:rsid w:val="4A8A6D92"/>
    <w:rsid w:val="4A9C6E16"/>
    <w:rsid w:val="4AB109CF"/>
    <w:rsid w:val="4AC27D40"/>
    <w:rsid w:val="4ADE44B5"/>
    <w:rsid w:val="4AF00897"/>
    <w:rsid w:val="4AF77B96"/>
    <w:rsid w:val="4B0030A9"/>
    <w:rsid w:val="4B016F64"/>
    <w:rsid w:val="4B1215E7"/>
    <w:rsid w:val="4B300C2B"/>
    <w:rsid w:val="4B321EA7"/>
    <w:rsid w:val="4B573495"/>
    <w:rsid w:val="4B5A3F42"/>
    <w:rsid w:val="4B5E3A6D"/>
    <w:rsid w:val="4B6B41C2"/>
    <w:rsid w:val="4B775702"/>
    <w:rsid w:val="4B801B9C"/>
    <w:rsid w:val="4B967B3A"/>
    <w:rsid w:val="4B9A3D59"/>
    <w:rsid w:val="4B9E5109"/>
    <w:rsid w:val="4BA672E0"/>
    <w:rsid w:val="4BB023BA"/>
    <w:rsid w:val="4BC053D6"/>
    <w:rsid w:val="4BD923A6"/>
    <w:rsid w:val="4BE44A3F"/>
    <w:rsid w:val="4BE61521"/>
    <w:rsid w:val="4BF42445"/>
    <w:rsid w:val="4BFA4AA0"/>
    <w:rsid w:val="4C0B3114"/>
    <w:rsid w:val="4C175912"/>
    <w:rsid w:val="4C1D24E0"/>
    <w:rsid w:val="4C2C5A35"/>
    <w:rsid w:val="4C3C46B8"/>
    <w:rsid w:val="4C4F6C7F"/>
    <w:rsid w:val="4C725341"/>
    <w:rsid w:val="4C7C03EF"/>
    <w:rsid w:val="4C9A6CCF"/>
    <w:rsid w:val="4CC20641"/>
    <w:rsid w:val="4CD53AAB"/>
    <w:rsid w:val="4CE43E85"/>
    <w:rsid w:val="4CF46ACB"/>
    <w:rsid w:val="4D017256"/>
    <w:rsid w:val="4D196C84"/>
    <w:rsid w:val="4D1F6DEF"/>
    <w:rsid w:val="4D2E31AE"/>
    <w:rsid w:val="4D3D1FEE"/>
    <w:rsid w:val="4D5F3EA9"/>
    <w:rsid w:val="4D6F1420"/>
    <w:rsid w:val="4D716000"/>
    <w:rsid w:val="4D7276E2"/>
    <w:rsid w:val="4DA44CA6"/>
    <w:rsid w:val="4DC26FA9"/>
    <w:rsid w:val="4DD35306"/>
    <w:rsid w:val="4DD869FC"/>
    <w:rsid w:val="4DE523BF"/>
    <w:rsid w:val="4DE7507A"/>
    <w:rsid w:val="4DF7667D"/>
    <w:rsid w:val="4DFC7A94"/>
    <w:rsid w:val="4E2235C1"/>
    <w:rsid w:val="4E250A96"/>
    <w:rsid w:val="4E3646F8"/>
    <w:rsid w:val="4E461C00"/>
    <w:rsid w:val="4E6126FC"/>
    <w:rsid w:val="4E7948DC"/>
    <w:rsid w:val="4E7B36E9"/>
    <w:rsid w:val="4E7C7B35"/>
    <w:rsid w:val="4E9A0DD2"/>
    <w:rsid w:val="4EB67EBB"/>
    <w:rsid w:val="4EC033BD"/>
    <w:rsid w:val="4EC06F03"/>
    <w:rsid w:val="4ED132D9"/>
    <w:rsid w:val="4ED36245"/>
    <w:rsid w:val="4ED4056B"/>
    <w:rsid w:val="4EE91C27"/>
    <w:rsid w:val="4EF713AA"/>
    <w:rsid w:val="4F165AE6"/>
    <w:rsid w:val="4F177D53"/>
    <w:rsid w:val="4F1D371F"/>
    <w:rsid w:val="4F390588"/>
    <w:rsid w:val="4F4C76D6"/>
    <w:rsid w:val="4F4E5746"/>
    <w:rsid w:val="4F556719"/>
    <w:rsid w:val="4F572D9B"/>
    <w:rsid w:val="4F5C4907"/>
    <w:rsid w:val="4F780227"/>
    <w:rsid w:val="4F8B7513"/>
    <w:rsid w:val="4F8D46D4"/>
    <w:rsid w:val="4FA936D5"/>
    <w:rsid w:val="4FA96283"/>
    <w:rsid w:val="4FB347EF"/>
    <w:rsid w:val="4FBD2F7E"/>
    <w:rsid w:val="4FC30E07"/>
    <w:rsid w:val="4FC37AD4"/>
    <w:rsid w:val="4FC74C78"/>
    <w:rsid w:val="4FDB726B"/>
    <w:rsid w:val="4FE3713A"/>
    <w:rsid w:val="4FE95F65"/>
    <w:rsid w:val="4FF24D58"/>
    <w:rsid w:val="5039122B"/>
    <w:rsid w:val="503E0F8E"/>
    <w:rsid w:val="507E2EF0"/>
    <w:rsid w:val="508B36FC"/>
    <w:rsid w:val="509A1B80"/>
    <w:rsid w:val="509D2468"/>
    <w:rsid w:val="50A23F7A"/>
    <w:rsid w:val="50A87C7F"/>
    <w:rsid w:val="50BA6697"/>
    <w:rsid w:val="50D332C5"/>
    <w:rsid w:val="50D47942"/>
    <w:rsid w:val="50D84662"/>
    <w:rsid w:val="50DA2806"/>
    <w:rsid w:val="50E21BB2"/>
    <w:rsid w:val="50F43A94"/>
    <w:rsid w:val="50F7592D"/>
    <w:rsid w:val="50FE4161"/>
    <w:rsid w:val="51466A00"/>
    <w:rsid w:val="514D665C"/>
    <w:rsid w:val="515A1CDE"/>
    <w:rsid w:val="5166607D"/>
    <w:rsid w:val="519F1BE7"/>
    <w:rsid w:val="51A51407"/>
    <w:rsid w:val="51DA15AE"/>
    <w:rsid w:val="51E54F49"/>
    <w:rsid w:val="51ED5D4B"/>
    <w:rsid w:val="51ED7CD0"/>
    <w:rsid w:val="51FA6476"/>
    <w:rsid w:val="51FC7525"/>
    <w:rsid w:val="5215678D"/>
    <w:rsid w:val="52165FDD"/>
    <w:rsid w:val="523F2648"/>
    <w:rsid w:val="5248778C"/>
    <w:rsid w:val="52582D49"/>
    <w:rsid w:val="52622E2C"/>
    <w:rsid w:val="526A12AF"/>
    <w:rsid w:val="526B293F"/>
    <w:rsid w:val="526C1D2D"/>
    <w:rsid w:val="5283747B"/>
    <w:rsid w:val="52C54EC3"/>
    <w:rsid w:val="52E83779"/>
    <w:rsid w:val="52F10E0D"/>
    <w:rsid w:val="52FB303E"/>
    <w:rsid w:val="532574E4"/>
    <w:rsid w:val="53295C7E"/>
    <w:rsid w:val="53355450"/>
    <w:rsid w:val="53593FCA"/>
    <w:rsid w:val="5378695C"/>
    <w:rsid w:val="537B3E5D"/>
    <w:rsid w:val="538808BC"/>
    <w:rsid w:val="53986360"/>
    <w:rsid w:val="539F2BF2"/>
    <w:rsid w:val="53F761E0"/>
    <w:rsid w:val="540212A3"/>
    <w:rsid w:val="5405273C"/>
    <w:rsid w:val="54086E36"/>
    <w:rsid w:val="541928E6"/>
    <w:rsid w:val="541C7F86"/>
    <w:rsid w:val="5424586C"/>
    <w:rsid w:val="542E5089"/>
    <w:rsid w:val="54377E46"/>
    <w:rsid w:val="543E6BC0"/>
    <w:rsid w:val="54563B33"/>
    <w:rsid w:val="545F6395"/>
    <w:rsid w:val="54645BE2"/>
    <w:rsid w:val="549E2D91"/>
    <w:rsid w:val="54A601EE"/>
    <w:rsid w:val="54AC7E8C"/>
    <w:rsid w:val="54C979B4"/>
    <w:rsid w:val="54CE30BD"/>
    <w:rsid w:val="54F02C0E"/>
    <w:rsid w:val="54F66331"/>
    <w:rsid w:val="54FC5D06"/>
    <w:rsid w:val="55067496"/>
    <w:rsid w:val="55324A78"/>
    <w:rsid w:val="554124AE"/>
    <w:rsid w:val="558112E4"/>
    <w:rsid w:val="55855731"/>
    <w:rsid w:val="559C0438"/>
    <w:rsid w:val="55A22F62"/>
    <w:rsid w:val="55A63731"/>
    <w:rsid w:val="55C15EEF"/>
    <w:rsid w:val="55DA3793"/>
    <w:rsid w:val="55E241AC"/>
    <w:rsid w:val="55EA2A36"/>
    <w:rsid w:val="55EF25D5"/>
    <w:rsid w:val="55FB4054"/>
    <w:rsid w:val="56013A55"/>
    <w:rsid w:val="561B16B1"/>
    <w:rsid w:val="563C2172"/>
    <w:rsid w:val="56416D60"/>
    <w:rsid w:val="56441C00"/>
    <w:rsid w:val="564C0E16"/>
    <w:rsid w:val="56583B3F"/>
    <w:rsid w:val="565C5CE0"/>
    <w:rsid w:val="56636EF2"/>
    <w:rsid w:val="566B5C8A"/>
    <w:rsid w:val="5678574D"/>
    <w:rsid w:val="567D15B8"/>
    <w:rsid w:val="56914D58"/>
    <w:rsid w:val="56965329"/>
    <w:rsid w:val="56AC0C2E"/>
    <w:rsid w:val="56AC4D06"/>
    <w:rsid w:val="56C601BD"/>
    <w:rsid w:val="56CF5845"/>
    <w:rsid w:val="56D004B5"/>
    <w:rsid w:val="56DB77F2"/>
    <w:rsid w:val="56E013FD"/>
    <w:rsid w:val="56E23C29"/>
    <w:rsid w:val="56F41F92"/>
    <w:rsid w:val="56FF7FD3"/>
    <w:rsid w:val="57050AB0"/>
    <w:rsid w:val="571E633A"/>
    <w:rsid w:val="57364EDF"/>
    <w:rsid w:val="57415841"/>
    <w:rsid w:val="57770577"/>
    <w:rsid w:val="57960862"/>
    <w:rsid w:val="57977A42"/>
    <w:rsid w:val="57AA22EA"/>
    <w:rsid w:val="57BB5AB0"/>
    <w:rsid w:val="57BC4C9C"/>
    <w:rsid w:val="57D44697"/>
    <w:rsid w:val="57D46BBD"/>
    <w:rsid w:val="57D50405"/>
    <w:rsid w:val="57D8052E"/>
    <w:rsid w:val="57EF6C81"/>
    <w:rsid w:val="582D0689"/>
    <w:rsid w:val="58394FCC"/>
    <w:rsid w:val="584D23E5"/>
    <w:rsid w:val="585F3529"/>
    <w:rsid w:val="58790753"/>
    <w:rsid w:val="58812986"/>
    <w:rsid w:val="589A414C"/>
    <w:rsid w:val="58A15012"/>
    <w:rsid w:val="58A91D27"/>
    <w:rsid w:val="58A95571"/>
    <w:rsid w:val="58B83E68"/>
    <w:rsid w:val="58BC0918"/>
    <w:rsid w:val="58C47837"/>
    <w:rsid w:val="58C87DEA"/>
    <w:rsid w:val="58CE636D"/>
    <w:rsid w:val="58F1106D"/>
    <w:rsid w:val="590132F0"/>
    <w:rsid w:val="5907459E"/>
    <w:rsid w:val="591F7CE8"/>
    <w:rsid w:val="59252BB1"/>
    <w:rsid w:val="5940788C"/>
    <w:rsid w:val="59464113"/>
    <w:rsid w:val="596F0515"/>
    <w:rsid w:val="597A2191"/>
    <w:rsid w:val="59884CF7"/>
    <w:rsid w:val="598C7400"/>
    <w:rsid w:val="5990010A"/>
    <w:rsid w:val="5993415C"/>
    <w:rsid w:val="59966D74"/>
    <w:rsid w:val="59981BCF"/>
    <w:rsid w:val="59B54766"/>
    <w:rsid w:val="59BA7FB6"/>
    <w:rsid w:val="59DC0821"/>
    <w:rsid w:val="59F15297"/>
    <w:rsid w:val="5A06589E"/>
    <w:rsid w:val="5A17160E"/>
    <w:rsid w:val="5A1D6CCA"/>
    <w:rsid w:val="5A1E0755"/>
    <w:rsid w:val="5A29235C"/>
    <w:rsid w:val="5A302F10"/>
    <w:rsid w:val="5A3754C7"/>
    <w:rsid w:val="5A4C13E2"/>
    <w:rsid w:val="5A6052C2"/>
    <w:rsid w:val="5A6D136C"/>
    <w:rsid w:val="5AC03563"/>
    <w:rsid w:val="5AC04993"/>
    <w:rsid w:val="5AC109A1"/>
    <w:rsid w:val="5AC703B1"/>
    <w:rsid w:val="5AEA6005"/>
    <w:rsid w:val="5AF35385"/>
    <w:rsid w:val="5B5E53FE"/>
    <w:rsid w:val="5B680BD9"/>
    <w:rsid w:val="5B8E2779"/>
    <w:rsid w:val="5B9D74DF"/>
    <w:rsid w:val="5BB34216"/>
    <w:rsid w:val="5BBE23F7"/>
    <w:rsid w:val="5BC231D6"/>
    <w:rsid w:val="5BD42712"/>
    <w:rsid w:val="5BDD38B1"/>
    <w:rsid w:val="5BE532A5"/>
    <w:rsid w:val="5BFC0319"/>
    <w:rsid w:val="5C0572ED"/>
    <w:rsid w:val="5C114DCB"/>
    <w:rsid w:val="5C307F23"/>
    <w:rsid w:val="5C6867B7"/>
    <w:rsid w:val="5C694256"/>
    <w:rsid w:val="5C6A3276"/>
    <w:rsid w:val="5C777397"/>
    <w:rsid w:val="5C951DA8"/>
    <w:rsid w:val="5CBB5C4E"/>
    <w:rsid w:val="5CBD4B41"/>
    <w:rsid w:val="5CBE5D6D"/>
    <w:rsid w:val="5CBF06DD"/>
    <w:rsid w:val="5CC73880"/>
    <w:rsid w:val="5CD813DC"/>
    <w:rsid w:val="5CFD3FD8"/>
    <w:rsid w:val="5D0513F5"/>
    <w:rsid w:val="5D086548"/>
    <w:rsid w:val="5D1A5393"/>
    <w:rsid w:val="5D282D0C"/>
    <w:rsid w:val="5D616789"/>
    <w:rsid w:val="5D631C42"/>
    <w:rsid w:val="5D643355"/>
    <w:rsid w:val="5DD33F5C"/>
    <w:rsid w:val="5DE85A54"/>
    <w:rsid w:val="5DF655D5"/>
    <w:rsid w:val="5DF9398D"/>
    <w:rsid w:val="5E0378DE"/>
    <w:rsid w:val="5E095FD6"/>
    <w:rsid w:val="5E186C68"/>
    <w:rsid w:val="5E1D6547"/>
    <w:rsid w:val="5E52686F"/>
    <w:rsid w:val="5E5B63FF"/>
    <w:rsid w:val="5E5D258D"/>
    <w:rsid w:val="5E656202"/>
    <w:rsid w:val="5E7E005D"/>
    <w:rsid w:val="5E7F0552"/>
    <w:rsid w:val="5E8D792A"/>
    <w:rsid w:val="5E940B11"/>
    <w:rsid w:val="5EB924A6"/>
    <w:rsid w:val="5EBE22C2"/>
    <w:rsid w:val="5EE03DEB"/>
    <w:rsid w:val="5EF95D77"/>
    <w:rsid w:val="5EFE51A4"/>
    <w:rsid w:val="5F070AAE"/>
    <w:rsid w:val="5F182CE0"/>
    <w:rsid w:val="5F2464C6"/>
    <w:rsid w:val="5F25133A"/>
    <w:rsid w:val="5F2B27D7"/>
    <w:rsid w:val="5F337996"/>
    <w:rsid w:val="5F4546E8"/>
    <w:rsid w:val="5F510353"/>
    <w:rsid w:val="5F726C0E"/>
    <w:rsid w:val="5F8F7A29"/>
    <w:rsid w:val="5F9A78F0"/>
    <w:rsid w:val="5FA67156"/>
    <w:rsid w:val="5FAC41A8"/>
    <w:rsid w:val="5FC21C41"/>
    <w:rsid w:val="5FC91C59"/>
    <w:rsid w:val="5FCE51B0"/>
    <w:rsid w:val="5FE41CC2"/>
    <w:rsid w:val="5FF30901"/>
    <w:rsid w:val="5FF33B0B"/>
    <w:rsid w:val="60006860"/>
    <w:rsid w:val="6007343B"/>
    <w:rsid w:val="6014372A"/>
    <w:rsid w:val="60310BE1"/>
    <w:rsid w:val="60584717"/>
    <w:rsid w:val="606038B5"/>
    <w:rsid w:val="607960B4"/>
    <w:rsid w:val="60882AB1"/>
    <w:rsid w:val="608B0DB6"/>
    <w:rsid w:val="609C607B"/>
    <w:rsid w:val="60A3297B"/>
    <w:rsid w:val="60D40213"/>
    <w:rsid w:val="60D67764"/>
    <w:rsid w:val="60E174E9"/>
    <w:rsid w:val="60F76A78"/>
    <w:rsid w:val="61073BB8"/>
    <w:rsid w:val="610A6D63"/>
    <w:rsid w:val="611054C9"/>
    <w:rsid w:val="611629FF"/>
    <w:rsid w:val="61220CE1"/>
    <w:rsid w:val="6124653C"/>
    <w:rsid w:val="613463DB"/>
    <w:rsid w:val="61415E1E"/>
    <w:rsid w:val="6149518F"/>
    <w:rsid w:val="61503D53"/>
    <w:rsid w:val="61534BF3"/>
    <w:rsid w:val="616D3845"/>
    <w:rsid w:val="617911A6"/>
    <w:rsid w:val="617C2A4E"/>
    <w:rsid w:val="619706BD"/>
    <w:rsid w:val="61B72C05"/>
    <w:rsid w:val="61C430EA"/>
    <w:rsid w:val="61C90AF5"/>
    <w:rsid w:val="61D7590E"/>
    <w:rsid w:val="61DF25EE"/>
    <w:rsid w:val="61EA303E"/>
    <w:rsid w:val="61FF6957"/>
    <w:rsid w:val="620516B3"/>
    <w:rsid w:val="62095C8A"/>
    <w:rsid w:val="62234534"/>
    <w:rsid w:val="62301BE2"/>
    <w:rsid w:val="62683E55"/>
    <w:rsid w:val="62744C3E"/>
    <w:rsid w:val="62804220"/>
    <w:rsid w:val="62A26D46"/>
    <w:rsid w:val="62A84815"/>
    <w:rsid w:val="62D40767"/>
    <w:rsid w:val="62D56C95"/>
    <w:rsid w:val="62E04722"/>
    <w:rsid w:val="62F52B28"/>
    <w:rsid w:val="632841D3"/>
    <w:rsid w:val="632919A0"/>
    <w:rsid w:val="632D32E8"/>
    <w:rsid w:val="63326507"/>
    <w:rsid w:val="63334A33"/>
    <w:rsid w:val="633356A8"/>
    <w:rsid w:val="633401F4"/>
    <w:rsid w:val="633B4A49"/>
    <w:rsid w:val="63404630"/>
    <w:rsid w:val="63425744"/>
    <w:rsid w:val="6349302D"/>
    <w:rsid w:val="636D1C4C"/>
    <w:rsid w:val="63707D9C"/>
    <w:rsid w:val="638173B0"/>
    <w:rsid w:val="638537AF"/>
    <w:rsid w:val="638A2B85"/>
    <w:rsid w:val="639A458E"/>
    <w:rsid w:val="63B16843"/>
    <w:rsid w:val="63C15A0A"/>
    <w:rsid w:val="63DB5F0D"/>
    <w:rsid w:val="63E133D3"/>
    <w:rsid w:val="6403179D"/>
    <w:rsid w:val="640A685B"/>
    <w:rsid w:val="641827E7"/>
    <w:rsid w:val="641D65C2"/>
    <w:rsid w:val="644D73D3"/>
    <w:rsid w:val="646B68FE"/>
    <w:rsid w:val="649A7572"/>
    <w:rsid w:val="649D298A"/>
    <w:rsid w:val="64A27FC2"/>
    <w:rsid w:val="64B975C6"/>
    <w:rsid w:val="64CD5EA7"/>
    <w:rsid w:val="64E019B2"/>
    <w:rsid w:val="64E522AA"/>
    <w:rsid w:val="64EA686B"/>
    <w:rsid w:val="64F46BB1"/>
    <w:rsid w:val="64F66BAF"/>
    <w:rsid w:val="6505217A"/>
    <w:rsid w:val="650D0B63"/>
    <w:rsid w:val="651B2AF2"/>
    <w:rsid w:val="6530335A"/>
    <w:rsid w:val="654C26E6"/>
    <w:rsid w:val="6559385C"/>
    <w:rsid w:val="656717A8"/>
    <w:rsid w:val="656F5C7A"/>
    <w:rsid w:val="658F1EC5"/>
    <w:rsid w:val="65943E16"/>
    <w:rsid w:val="65A03725"/>
    <w:rsid w:val="65A37441"/>
    <w:rsid w:val="65B13D37"/>
    <w:rsid w:val="65B65CC2"/>
    <w:rsid w:val="65D27BFB"/>
    <w:rsid w:val="65EA1BBA"/>
    <w:rsid w:val="65F30589"/>
    <w:rsid w:val="65F762A4"/>
    <w:rsid w:val="6603137A"/>
    <w:rsid w:val="6606408F"/>
    <w:rsid w:val="6615174B"/>
    <w:rsid w:val="6625033A"/>
    <w:rsid w:val="66356F49"/>
    <w:rsid w:val="663920D5"/>
    <w:rsid w:val="663A696B"/>
    <w:rsid w:val="665E3548"/>
    <w:rsid w:val="66617403"/>
    <w:rsid w:val="66855109"/>
    <w:rsid w:val="669E7027"/>
    <w:rsid w:val="66A631A5"/>
    <w:rsid w:val="66AA76F2"/>
    <w:rsid w:val="66BC330F"/>
    <w:rsid w:val="66CF7CAA"/>
    <w:rsid w:val="66D3237B"/>
    <w:rsid w:val="66EA4494"/>
    <w:rsid w:val="66FB75D5"/>
    <w:rsid w:val="670744F2"/>
    <w:rsid w:val="670F0F3E"/>
    <w:rsid w:val="671122EC"/>
    <w:rsid w:val="67144695"/>
    <w:rsid w:val="67166EC5"/>
    <w:rsid w:val="67210094"/>
    <w:rsid w:val="67265F4B"/>
    <w:rsid w:val="672873BE"/>
    <w:rsid w:val="67336828"/>
    <w:rsid w:val="673F1301"/>
    <w:rsid w:val="674C2EEE"/>
    <w:rsid w:val="674C6625"/>
    <w:rsid w:val="67524DC8"/>
    <w:rsid w:val="675E1C55"/>
    <w:rsid w:val="676A31F2"/>
    <w:rsid w:val="6786576F"/>
    <w:rsid w:val="67AF5EA9"/>
    <w:rsid w:val="67C41F2A"/>
    <w:rsid w:val="67C76F1A"/>
    <w:rsid w:val="67CE5584"/>
    <w:rsid w:val="67D807C1"/>
    <w:rsid w:val="67DB1AD6"/>
    <w:rsid w:val="67E84FE7"/>
    <w:rsid w:val="67EC2A68"/>
    <w:rsid w:val="67F352D6"/>
    <w:rsid w:val="67F54C2A"/>
    <w:rsid w:val="67F82494"/>
    <w:rsid w:val="68367836"/>
    <w:rsid w:val="68465511"/>
    <w:rsid w:val="685D5E0F"/>
    <w:rsid w:val="686167C2"/>
    <w:rsid w:val="6862752C"/>
    <w:rsid w:val="6883311E"/>
    <w:rsid w:val="688C5ED6"/>
    <w:rsid w:val="68C107A0"/>
    <w:rsid w:val="68D127D3"/>
    <w:rsid w:val="68E432F2"/>
    <w:rsid w:val="69020613"/>
    <w:rsid w:val="69097939"/>
    <w:rsid w:val="693D62E1"/>
    <w:rsid w:val="69545358"/>
    <w:rsid w:val="69580494"/>
    <w:rsid w:val="69631400"/>
    <w:rsid w:val="696B7D99"/>
    <w:rsid w:val="698565CA"/>
    <w:rsid w:val="698A76FD"/>
    <w:rsid w:val="69A10789"/>
    <w:rsid w:val="69CE20AE"/>
    <w:rsid w:val="69D54202"/>
    <w:rsid w:val="69EC088E"/>
    <w:rsid w:val="69FB02D4"/>
    <w:rsid w:val="69FD4C17"/>
    <w:rsid w:val="6A023575"/>
    <w:rsid w:val="6A2F77B5"/>
    <w:rsid w:val="6A5335BF"/>
    <w:rsid w:val="6A6F33E2"/>
    <w:rsid w:val="6A87363A"/>
    <w:rsid w:val="6A8F1D2C"/>
    <w:rsid w:val="6AC82989"/>
    <w:rsid w:val="6ACB0293"/>
    <w:rsid w:val="6AD27C8E"/>
    <w:rsid w:val="6AD44208"/>
    <w:rsid w:val="6AD97A22"/>
    <w:rsid w:val="6AE5685D"/>
    <w:rsid w:val="6AF31962"/>
    <w:rsid w:val="6B013A68"/>
    <w:rsid w:val="6B0155A1"/>
    <w:rsid w:val="6B122F4F"/>
    <w:rsid w:val="6B2921FD"/>
    <w:rsid w:val="6B474827"/>
    <w:rsid w:val="6B5F6068"/>
    <w:rsid w:val="6B682E7E"/>
    <w:rsid w:val="6B7211DE"/>
    <w:rsid w:val="6B77551A"/>
    <w:rsid w:val="6B9421B9"/>
    <w:rsid w:val="6B9531E5"/>
    <w:rsid w:val="6BA468ED"/>
    <w:rsid w:val="6BAC63E0"/>
    <w:rsid w:val="6BBB33ED"/>
    <w:rsid w:val="6BBC1D31"/>
    <w:rsid w:val="6BDE66B6"/>
    <w:rsid w:val="6BF26FA6"/>
    <w:rsid w:val="6BFD0EC6"/>
    <w:rsid w:val="6C07480A"/>
    <w:rsid w:val="6C0C44C9"/>
    <w:rsid w:val="6C1352B9"/>
    <w:rsid w:val="6C172559"/>
    <w:rsid w:val="6C1C439A"/>
    <w:rsid w:val="6C1C4F18"/>
    <w:rsid w:val="6C303976"/>
    <w:rsid w:val="6C3B4140"/>
    <w:rsid w:val="6C3D4927"/>
    <w:rsid w:val="6C463FF0"/>
    <w:rsid w:val="6C64317A"/>
    <w:rsid w:val="6C700D0A"/>
    <w:rsid w:val="6C9933BC"/>
    <w:rsid w:val="6C9F15FB"/>
    <w:rsid w:val="6CA2751B"/>
    <w:rsid w:val="6CB06823"/>
    <w:rsid w:val="6CF90E0C"/>
    <w:rsid w:val="6CFD1CF9"/>
    <w:rsid w:val="6D0547D1"/>
    <w:rsid w:val="6D097684"/>
    <w:rsid w:val="6D1839B1"/>
    <w:rsid w:val="6D1A1616"/>
    <w:rsid w:val="6D1E0E37"/>
    <w:rsid w:val="6D6164A3"/>
    <w:rsid w:val="6D6A206F"/>
    <w:rsid w:val="6D827E23"/>
    <w:rsid w:val="6D850842"/>
    <w:rsid w:val="6D86246C"/>
    <w:rsid w:val="6D896824"/>
    <w:rsid w:val="6D907359"/>
    <w:rsid w:val="6D99593A"/>
    <w:rsid w:val="6DAD08F5"/>
    <w:rsid w:val="6DB35025"/>
    <w:rsid w:val="6DCD422F"/>
    <w:rsid w:val="6DE1418E"/>
    <w:rsid w:val="6E07087C"/>
    <w:rsid w:val="6E161D3C"/>
    <w:rsid w:val="6E1B625F"/>
    <w:rsid w:val="6E246778"/>
    <w:rsid w:val="6E443ACA"/>
    <w:rsid w:val="6E4C0058"/>
    <w:rsid w:val="6E5D26A2"/>
    <w:rsid w:val="6E6A696D"/>
    <w:rsid w:val="6E773D15"/>
    <w:rsid w:val="6EA37383"/>
    <w:rsid w:val="6ECC7B7A"/>
    <w:rsid w:val="6ED131DE"/>
    <w:rsid w:val="6EE307E8"/>
    <w:rsid w:val="6EE558A8"/>
    <w:rsid w:val="6EF12333"/>
    <w:rsid w:val="6EF92697"/>
    <w:rsid w:val="6F037A0F"/>
    <w:rsid w:val="6F2E5FE3"/>
    <w:rsid w:val="6F3C7D71"/>
    <w:rsid w:val="6F4B2BF8"/>
    <w:rsid w:val="6F545D05"/>
    <w:rsid w:val="6F594970"/>
    <w:rsid w:val="6F6A7891"/>
    <w:rsid w:val="6F7B76F7"/>
    <w:rsid w:val="6F903F28"/>
    <w:rsid w:val="6F926414"/>
    <w:rsid w:val="6FA12224"/>
    <w:rsid w:val="6FCE7F47"/>
    <w:rsid w:val="6FCF14BB"/>
    <w:rsid w:val="700971A7"/>
    <w:rsid w:val="701A4350"/>
    <w:rsid w:val="70276E5B"/>
    <w:rsid w:val="7035009B"/>
    <w:rsid w:val="7036578D"/>
    <w:rsid w:val="703B3BFC"/>
    <w:rsid w:val="70456902"/>
    <w:rsid w:val="705A1D38"/>
    <w:rsid w:val="7065477C"/>
    <w:rsid w:val="708D191D"/>
    <w:rsid w:val="7090441D"/>
    <w:rsid w:val="70997CB9"/>
    <w:rsid w:val="709C0DB2"/>
    <w:rsid w:val="70A67191"/>
    <w:rsid w:val="70AB722A"/>
    <w:rsid w:val="70B1303E"/>
    <w:rsid w:val="70DA19B3"/>
    <w:rsid w:val="70DE7187"/>
    <w:rsid w:val="710C0445"/>
    <w:rsid w:val="71122594"/>
    <w:rsid w:val="7142691A"/>
    <w:rsid w:val="714B0EF5"/>
    <w:rsid w:val="71587E16"/>
    <w:rsid w:val="715B36C9"/>
    <w:rsid w:val="715E244A"/>
    <w:rsid w:val="716B5EC8"/>
    <w:rsid w:val="7176572E"/>
    <w:rsid w:val="717C024C"/>
    <w:rsid w:val="717F5DD2"/>
    <w:rsid w:val="718E26A5"/>
    <w:rsid w:val="71933EEC"/>
    <w:rsid w:val="719D3544"/>
    <w:rsid w:val="71B54DF9"/>
    <w:rsid w:val="71C01815"/>
    <w:rsid w:val="71C75B5D"/>
    <w:rsid w:val="71EB6B86"/>
    <w:rsid w:val="72057AF3"/>
    <w:rsid w:val="72164FA3"/>
    <w:rsid w:val="721C62CA"/>
    <w:rsid w:val="72341D79"/>
    <w:rsid w:val="7238703F"/>
    <w:rsid w:val="72465B04"/>
    <w:rsid w:val="724847FC"/>
    <w:rsid w:val="72545E9B"/>
    <w:rsid w:val="72626DA1"/>
    <w:rsid w:val="726C1BF0"/>
    <w:rsid w:val="727C2907"/>
    <w:rsid w:val="72827C51"/>
    <w:rsid w:val="728C2852"/>
    <w:rsid w:val="7299051F"/>
    <w:rsid w:val="72A8454E"/>
    <w:rsid w:val="72AF1492"/>
    <w:rsid w:val="72D25CF7"/>
    <w:rsid w:val="72D830CD"/>
    <w:rsid w:val="72D95E64"/>
    <w:rsid w:val="72EC2420"/>
    <w:rsid w:val="73241A8A"/>
    <w:rsid w:val="733A4E90"/>
    <w:rsid w:val="735D734C"/>
    <w:rsid w:val="73602991"/>
    <w:rsid w:val="73612FB6"/>
    <w:rsid w:val="73623646"/>
    <w:rsid w:val="73797A10"/>
    <w:rsid w:val="738A3457"/>
    <w:rsid w:val="739B3CF9"/>
    <w:rsid w:val="739C79CE"/>
    <w:rsid w:val="73A00D34"/>
    <w:rsid w:val="73B05D0C"/>
    <w:rsid w:val="73B56C37"/>
    <w:rsid w:val="73BD0467"/>
    <w:rsid w:val="73E915BA"/>
    <w:rsid w:val="73EF75AD"/>
    <w:rsid w:val="73F73466"/>
    <w:rsid w:val="73FC46FB"/>
    <w:rsid w:val="740D169E"/>
    <w:rsid w:val="740E460A"/>
    <w:rsid w:val="7413358A"/>
    <w:rsid w:val="741C3CF1"/>
    <w:rsid w:val="74217A28"/>
    <w:rsid w:val="74262F6E"/>
    <w:rsid w:val="742C4928"/>
    <w:rsid w:val="742E7503"/>
    <w:rsid w:val="7433768D"/>
    <w:rsid w:val="74551D66"/>
    <w:rsid w:val="747501CF"/>
    <w:rsid w:val="74777C1C"/>
    <w:rsid w:val="747B42EB"/>
    <w:rsid w:val="7481470A"/>
    <w:rsid w:val="74963132"/>
    <w:rsid w:val="74994681"/>
    <w:rsid w:val="74B374CE"/>
    <w:rsid w:val="74C325FF"/>
    <w:rsid w:val="74C94521"/>
    <w:rsid w:val="74E124F8"/>
    <w:rsid w:val="74EB7E9A"/>
    <w:rsid w:val="74EC3FB7"/>
    <w:rsid w:val="74EE2C8B"/>
    <w:rsid w:val="74F330F6"/>
    <w:rsid w:val="74F97FDD"/>
    <w:rsid w:val="750220D2"/>
    <w:rsid w:val="75443F79"/>
    <w:rsid w:val="75666FB1"/>
    <w:rsid w:val="7572204E"/>
    <w:rsid w:val="759148AE"/>
    <w:rsid w:val="75A63AB0"/>
    <w:rsid w:val="75A93DE7"/>
    <w:rsid w:val="75B26173"/>
    <w:rsid w:val="75B35774"/>
    <w:rsid w:val="75C15467"/>
    <w:rsid w:val="75D82B55"/>
    <w:rsid w:val="75F43406"/>
    <w:rsid w:val="75F503B1"/>
    <w:rsid w:val="75FA005E"/>
    <w:rsid w:val="760568F1"/>
    <w:rsid w:val="76063E14"/>
    <w:rsid w:val="76066CA4"/>
    <w:rsid w:val="76276FF5"/>
    <w:rsid w:val="762A7107"/>
    <w:rsid w:val="7635467E"/>
    <w:rsid w:val="763B684D"/>
    <w:rsid w:val="7651023D"/>
    <w:rsid w:val="76617C75"/>
    <w:rsid w:val="767E34F8"/>
    <w:rsid w:val="767E3619"/>
    <w:rsid w:val="767F73C0"/>
    <w:rsid w:val="76B10996"/>
    <w:rsid w:val="76C715F0"/>
    <w:rsid w:val="76C90CA0"/>
    <w:rsid w:val="76CD33CF"/>
    <w:rsid w:val="76EF5D3C"/>
    <w:rsid w:val="77075C14"/>
    <w:rsid w:val="772E1233"/>
    <w:rsid w:val="773C4E1E"/>
    <w:rsid w:val="773D3E3D"/>
    <w:rsid w:val="77470A38"/>
    <w:rsid w:val="7752392F"/>
    <w:rsid w:val="7753787E"/>
    <w:rsid w:val="77571FC2"/>
    <w:rsid w:val="776E09B8"/>
    <w:rsid w:val="777101AF"/>
    <w:rsid w:val="77787755"/>
    <w:rsid w:val="777D713E"/>
    <w:rsid w:val="77886456"/>
    <w:rsid w:val="779333AE"/>
    <w:rsid w:val="77951024"/>
    <w:rsid w:val="77994313"/>
    <w:rsid w:val="77A44F52"/>
    <w:rsid w:val="77A62C74"/>
    <w:rsid w:val="77AD0D1B"/>
    <w:rsid w:val="77C9748D"/>
    <w:rsid w:val="77D3549F"/>
    <w:rsid w:val="77ED66E6"/>
    <w:rsid w:val="780E3867"/>
    <w:rsid w:val="780F2446"/>
    <w:rsid w:val="78183066"/>
    <w:rsid w:val="7840777F"/>
    <w:rsid w:val="78523284"/>
    <w:rsid w:val="78554CB8"/>
    <w:rsid w:val="786904AE"/>
    <w:rsid w:val="786C1300"/>
    <w:rsid w:val="788555CD"/>
    <w:rsid w:val="788C08C0"/>
    <w:rsid w:val="789D11D4"/>
    <w:rsid w:val="78C413C8"/>
    <w:rsid w:val="78C54FC9"/>
    <w:rsid w:val="78D04695"/>
    <w:rsid w:val="78E439FC"/>
    <w:rsid w:val="79086816"/>
    <w:rsid w:val="79100A4F"/>
    <w:rsid w:val="79111010"/>
    <w:rsid w:val="791453EC"/>
    <w:rsid w:val="791D00B0"/>
    <w:rsid w:val="792D3B56"/>
    <w:rsid w:val="793343C0"/>
    <w:rsid w:val="793A0FDA"/>
    <w:rsid w:val="79555845"/>
    <w:rsid w:val="795A0192"/>
    <w:rsid w:val="797C5819"/>
    <w:rsid w:val="79822C1A"/>
    <w:rsid w:val="799A0BB1"/>
    <w:rsid w:val="799E5B42"/>
    <w:rsid w:val="79B92606"/>
    <w:rsid w:val="79BD372C"/>
    <w:rsid w:val="79CF405D"/>
    <w:rsid w:val="79E27EF8"/>
    <w:rsid w:val="79EA4032"/>
    <w:rsid w:val="7A0518D3"/>
    <w:rsid w:val="7A072E1B"/>
    <w:rsid w:val="7A0F12E6"/>
    <w:rsid w:val="7A3106AD"/>
    <w:rsid w:val="7A443267"/>
    <w:rsid w:val="7A45281A"/>
    <w:rsid w:val="7A516D36"/>
    <w:rsid w:val="7A640C3B"/>
    <w:rsid w:val="7A75633F"/>
    <w:rsid w:val="7A791EA9"/>
    <w:rsid w:val="7A824C3A"/>
    <w:rsid w:val="7A9C0BFC"/>
    <w:rsid w:val="7AA013ED"/>
    <w:rsid w:val="7AB25AFA"/>
    <w:rsid w:val="7AD92FE1"/>
    <w:rsid w:val="7AE22EDA"/>
    <w:rsid w:val="7AE32005"/>
    <w:rsid w:val="7AF73A40"/>
    <w:rsid w:val="7AFE2398"/>
    <w:rsid w:val="7B022868"/>
    <w:rsid w:val="7B0424B0"/>
    <w:rsid w:val="7B194369"/>
    <w:rsid w:val="7B1C0798"/>
    <w:rsid w:val="7B2044C3"/>
    <w:rsid w:val="7B297B4C"/>
    <w:rsid w:val="7B3103E1"/>
    <w:rsid w:val="7B31389C"/>
    <w:rsid w:val="7B325EB1"/>
    <w:rsid w:val="7B374699"/>
    <w:rsid w:val="7B4E4228"/>
    <w:rsid w:val="7B4F6B6A"/>
    <w:rsid w:val="7B891D93"/>
    <w:rsid w:val="7B9E5B3A"/>
    <w:rsid w:val="7BA00EA3"/>
    <w:rsid w:val="7BBE4422"/>
    <w:rsid w:val="7BC22F17"/>
    <w:rsid w:val="7BC243CE"/>
    <w:rsid w:val="7BC7231A"/>
    <w:rsid w:val="7BCA7407"/>
    <w:rsid w:val="7BEA7F06"/>
    <w:rsid w:val="7C08259D"/>
    <w:rsid w:val="7C146794"/>
    <w:rsid w:val="7C1576DC"/>
    <w:rsid w:val="7C1A6555"/>
    <w:rsid w:val="7C1F2798"/>
    <w:rsid w:val="7C461BA7"/>
    <w:rsid w:val="7C673E1D"/>
    <w:rsid w:val="7C6F7A0C"/>
    <w:rsid w:val="7C730D95"/>
    <w:rsid w:val="7C811ABB"/>
    <w:rsid w:val="7C8230F2"/>
    <w:rsid w:val="7C963DC3"/>
    <w:rsid w:val="7CCF51CF"/>
    <w:rsid w:val="7CDC1A63"/>
    <w:rsid w:val="7CF124AE"/>
    <w:rsid w:val="7CFE40C1"/>
    <w:rsid w:val="7D004C18"/>
    <w:rsid w:val="7D0A157C"/>
    <w:rsid w:val="7D0B4D82"/>
    <w:rsid w:val="7D194BCB"/>
    <w:rsid w:val="7D2F00F5"/>
    <w:rsid w:val="7D3C06CF"/>
    <w:rsid w:val="7D4C7846"/>
    <w:rsid w:val="7D6E5376"/>
    <w:rsid w:val="7D885D6B"/>
    <w:rsid w:val="7D8C5289"/>
    <w:rsid w:val="7D8E6563"/>
    <w:rsid w:val="7D975B7E"/>
    <w:rsid w:val="7D9E0355"/>
    <w:rsid w:val="7DA176CC"/>
    <w:rsid w:val="7DA41765"/>
    <w:rsid w:val="7DA82985"/>
    <w:rsid w:val="7DA9015D"/>
    <w:rsid w:val="7DAE3095"/>
    <w:rsid w:val="7DB464C4"/>
    <w:rsid w:val="7DBB0EB6"/>
    <w:rsid w:val="7DC51FB6"/>
    <w:rsid w:val="7DD3005E"/>
    <w:rsid w:val="7DD968EF"/>
    <w:rsid w:val="7DE03C2C"/>
    <w:rsid w:val="7DE111FE"/>
    <w:rsid w:val="7DE32290"/>
    <w:rsid w:val="7E192CF0"/>
    <w:rsid w:val="7E3C48CF"/>
    <w:rsid w:val="7E43770C"/>
    <w:rsid w:val="7E44174B"/>
    <w:rsid w:val="7E4F69C2"/>
    <w:rsid w:val="7E537146"/>
    <w:rsid w:val="7E67731B"/>
    <w:rsid w:val="7E6B77EA"/>
    <w:rsid w:val="7E847E3E"/>
    <w:rsid w:val="7E9A5A4E"/>
    <w:rsid w:val="7EB117E2"/>
    <w:rsid w:val="7EB2541C"/>
    <w:rsid w:val="7EBB1EA8"/>
    <w:rsid w:val="7EC12B9C"/>
    <w:rsid w:val="7EC218D0"/>
    <w:rsid w:val="7ED04B6F"/>
    <w:rsid w:val="7EF96D2C"/>
    <w:rsid w:val="7EFA0739"/>
    <w:rsid w:val="7EFB3431"/>
    <w:rsid w:val="7F0023E1"/>
    <w:rsid w:val="7F0068E8"/>
    <w:rsid w:val="7F01756A"/>
    <w:rsid w:val="7F0D4B08"/>
    <w:rsid w:val="7F0F656B"/>
    <w:rsid w:val="7F3E705B"/>
    <w:rsid w:val="7F423106"/>
    <w:rsid w:val="7F493429"/>
    <w:rsid w:val="7F5E3040"/>
    <w:rsid w:val="7F6B2E70"/>
    <w:rsid w:val="7F72403E"/>
    <w:rsid w:val="7F734F41"/>
    <w:rsid w:val="7F831B16"/>
    <w:rsid w:val="7FA01D83"/>
    <w:rsid w:val="7FA04300"/>
    <w:rsid w:val="7FA46F2F"/>
    <w:rsid w:val="7FA56405"/>
    <w:rsid w:val="7FAC6400"/>
    <w:rsid w:val="7FD80D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3"/>
    <w:qFormat/>
    <w:uiPriority w:val="0"/>
    <w:pPr>
      <w:keepNext/>
      <w:keepLines/>
      <w:numPr>
        <w:ilvl w:val="0"/>
        <w:numId w:val="1"/>
      </w:numPr>
      <w:pBdr>
        <w:top w:val="single" w:color="auto" w:sz="12" w:space="3"/>
      </w:pBdr>
      <w:tabs>
        <w:tab w:val="left" w:pos="432"/>
      </w:tabs>
      <w:spacing w:beforeLines="50"/>
      <w:outlineLvl w:val="0"/>
    </w:pPr>
    <w:rPr>
      <w:rFonts w:ascii="Arial" w:hAnsi="Arial" w:eastAsia="宋体"/>
      <w:sz w:val="28"/>
      <w:szCs w:val="22"/>
      <w:lang w:eastAsia="zh-CN"/>
    </w:rPr>
  </w:style>
  <w:style w:type="paragraph" w:styleId="3">
    <w:name w:val="heading 2"/>
    <w:basedOn w:val="1"/>
    <w:next w:val="4"/>
    <w:link w:val="103"/>
    <w:qFormat/>
    <w:uiPriority w:val="0"/>
    <w:pPr>
      <w:tabs>
        <w:tab w:val="left" w:pos="576"/>
      </w:tabs>
      <w:spacing w:before="240" w:after="60"/>
      <w:ind w:left="576" w:hanging="576"/>
      <w:outlineLvl w:val="1"/>
    </w:pPr>
    <w:rPr>
      <w:rFonts w:cs="Arial"/>
      <w:b/>
      <w:bCs/>
      <w:iCs/>
      <w:szCs w:val="28"/>
      <w:lang w:val="en-US"/>
    </w:rPr>
  </w:style>
  <w:style w:type="paragraph" w:styleId="5">
    <w:name w:val="heading 3"/>
    <w:basedOn w:val="1"/>
    <w:next w:val="1"/>
    <w:qFormat/>
    <w:uiPriority w:val="0"/>
    <w:pPr>
      <w:keepNext/>
      <w:tabs>
        <w:tab w:val="left" w:pos="720"/>
      </w:tabs>
      <w:spacing w:before="240" w:after="60"/>
      <w:ind w:left="720" w:hanging="720"/>
      <w:outlineLvl w:val="2"/>
    </w:pPr>
    <w:rPr>
      <w:rFonts w:cs="Arial"/>
      <w:b/>
      <w:bCs/>
      <w:sz w:val="24"/>
      <w:szCs w:val="26"/>
    </w:rPr>
  </w:style>
  <w:style w:type="paragraph" w:styleId="6">
    <w:name w:val="heading 4"/>
    <w:basedOn w:val="1"/>
    <w:next w:val="1"/>
    <w:link w:val="44"/>
    <w:qFormat/>
    <w:uiPriority w:val="0"/>
    <w:pPr>
      <w:keepNext/>
      <w:tabs>
        <w:tab w:val="left" w:pos="864"/>
      </w:tabs>
      <w:spacing w:before="240" w:after="60"/>
      <w:ind w:left="864" w:hanging="864"/>
      <w:outlineLvl w:val="3"/>
    </w:pPr>
    <w:rPr>
      <w:b/>
      <w:bCs/>
      <w:sz w:val="28"/>
      <w:szCs w:val="28"/>
    </w:rPr>
  </w:style>
  <w:style w:type="paragraph" w:styleId="7">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8">
    <w:name w:val="heading 6"/>
    <w:basedOn w:val="1"/>
    <w:next w:val="1"/>
    <w:qFormat/>
    <w:uiPriority w:val="0"/>
    <w:pPr>
      <w:tabs>
        <w:tab w:val="left" w:pos="1152"/>
      </w:tabs>
      <w:spacing w:before="240" w:after="60"/>
      <w:ind w:left="1152" w:hanging="1152"/>
      <w:outlineLvl w:val="5"/>
    </w:pPr>
    <w:rPr>
      <w:b/>
      <w:bCs/>
      <w:sz w:val="22"/>
      <w:szCs w:val="22"/>
    </w:rPr>
  </w:style>
  <w:style w:type="paragraph" w:styleId="9">
    <w:name w:val="heading 7"/>
    <w:basedOn w:val="1"/>
    <w:next w:val="1"/>
    <w:qFormat/>
    <w:uiPriority w:val="0"/>
    <w:pPr>
      <w:tabs>
        <w:tab w:val="left" w:pos="1296"/>
      </w:tabs>
      <w:spacing w:before="240" w:after="60"/>
      <w:ind w:left="1296" w:hanging="1296"/>
      <w:outlineLvl w:val="6"/>
    </w:pPr>
    <w:rPr>
      <w:sz w:val="24"/>
      <w:szCs w:val="24"/>
    </w:rPr>
  </w:style>
  <w:style w:type="paragraph" w:styleId="10">
    <w:name w:val="heading 8"/>
    <w:basedOn w:val="1"/>
    <w:next w:val="11"/>
    <w:link w:val="48"/>
    <w:qFormat/>
    <w:uiPriority w:val="0"/>
    <w:pPr>
      <w:keepNext/>
      <w:keepLines/>
      <w:widowControl w:val="0"/>
      <w:tabs>
        <w:tab w:val="left" w:pos="1440"/>
      </w:tabs>
      <w:overflowPunct/>
      <w:autoSpaceDE/>
      <w:autoSpaceDN/>
      <w:adjustRightInd/>
      <w:spacing w:before="120"/>
      <w:ind w:left="1440" w:hanging="1440"/>
      <w:textAlignment w:val="auto"/>
      <w:outlineLvl w:val="7"/>
    </w:pPr>
    <w:rPr>
      <w:rFonts w:ascii="Arial" w:hAnsi="Arial" w:eastAsia="宋体"/>
      <w:kern w:val="2"/>
      <w:sz w:val="21"/>
      <w:szCs w:val="24"/>
      <w:lang w:val="en-US" w:eastAsia="zh-CN"/>
    </w:rPr>
  </w:style>
  <w:style w:type="paragraph" w:styleId="12">
    <w:name w:val="heading 9"/>
    <w:basedOn w:val="1"/>
    <w:next w:val="11"/>
    <w:link w:val="54"/>
    <w:qFormat/>
    <w:uiPriority w:val="0"/>
    <w:pPr>
      <w:keepNext/>
      <w:keepLines/>
      <w:widowControl w:val="0"/>
      <w:tabs>
        <w:tab w:val="left" w:pos="1584"/>
      </w:tabs>
      <w:overflowPunct/>
      <w:autoSpaceDE/>
      <w:autoSpaceDN/>
      <w:adjustRightInd/>
      <w:spacing w:before="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100"/>
    <w:qFormat/>
    <w:uiPriority w:val="0"/>
    <w:pPr>
      <w:overflowPunct/>
      <w:autoSpaceDE/>
      <w:autoSpaceDN/>
      <w:adjustRightInd/>
      <w:textAlignment w:val="auto"/>
    </w:pPr>
    <w:rPr>
      <w:rFonts w:eastAsia="MS Mincho"/>
    </w:rPr>
  </w:style>
  <w:style w:type="paragraph" w:styleId="11">
    <w:name w:val="Normal Indent"/>
    <w:basedOn w:val="1"/>
    <w:unhideWhenUsed/>
    <w:qFormat/>
    <w:uiPriority w:val="99"/>
    <w:pPr>
      <w:ind w:firstLine="420" w:firstLineChars="200"/>
    </w:pPr>
  </w:style>
  <w:style w:type="paragraph" w:styleId="13">
    <w:name w:val="List Number"/>
    <w:basedOn w:val="1"/>
    <w:qFormat/>
    <w:uiPriority w:val="0"/>
    <w:pPr>
      <w:widowControl w:val="0"/>
      <w:overflowPunct/>
      <w:autoSpaceDE/>
      <w:autoSpaceDN/>
      <w:adjustRightInd/>
      <w:spacing w:beforeLines="100" w:after="0" w:line="460" w:lineRule="exact"/>
      <w:ind w:firstLine="567"/>
    </w:pPr>
    <w:rPr>
      <w:rFonts w:eastAsia="楷体_GB2312"/>
      <w:snapToGrid w:val="0"/>
      <w:sz w:val="28"/>
      <w:szCs w:val="28"/>
      <w:lang w:val="en-US" w:eastAsia="zh-CN"/>
    </w:rPr>
  </w:style>
  <w:style w:type="paragraph" w:styleId="14">
    <w:name w:val="caption"/>
    <w:basedOn w:val="1"/>
    <w:next w:val="1"/>
    <w:link w:val="39"/>
    <w:qFormat/>
    <w:uiPriority w:val="0"/>
    <w:rPr>
      <w:b/>
      <w:bCs/>
    </w:rPr>
  </w:style>
  <w:style w:type="paragraph" w:styleId="15">
    <w:name w:val="List Bullet"/>
    <w:basedOn w:val="4"/>
    <w:qFormat/>
    <w:uiPriority w:val="0"/>
    <w:pPr>
      <w:tabs>
        <w:tab w:val="left" w:pos="510"/>
      </w:tabs>
      <w:overflowPunct w:val="0"/>
      <w:autoSpaceDE w:val="0"/>
      <w:autoSpaceDN w:val="0"/>
      <w:adjustRightInd w:val="0"/>
      <w:ind w:left="510" w:hanging="397"/>
      <w:textAlignment w:val="baseline"/>
    </w:pPr>
    <w:rPr>
      <w:rFonts w:ascii="Arial" w:hAnsi="Arial" w:eastAsia="Times New Roman"/>
      <w:lang w:eastAsia="zh-CN"/>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5"/>
    <w:unhideWhenUsed/>
    <w:qFormat/>
    <w:uiPriority w:val="0"/>
  </w:style>
  <w:style w:type="paragraph" w:styleId="18">
    <w:name w:val="Body Text Indent"/>
    <w:basedOn w:val="1"/>
    <w:qFormat/>
    <w:uiPriority w:val="0"/>
    <w:pPr>
      <w:ind w:left="283"/>
    </w:pPr>
  </w:style>
  <w:style w:type="paragraph" w:styleId="19">
    <w:name w:val="Balloon Text"/>
    <w:basedOn w:val="1"/>
    <w:link w:val="38"/>
    <w:unhideWhenUsed/>
    <w:qFormat/>
    <w:uiPriority w:val="99"/>
    <w:pPr>
      <w:spacing w:after="0"/>
    </w:pPr>
    <w:rPr>
      <w:rFonts w:ascii="Tahoma" w:hAnsi="Tahoma" w:cs="Tahoma"/>
      <w:sz w:val="16"/>
      <w:szCs w:val="16"/>
    </w:rPr>
  </w:style>
  <w:style w:type="paragraph" w:styleId="20">
    <w:name w:val="footer"/>
    <w:basedOn w:val="1"/>
    <w:link w:val="59"/>
    <w:unhideWhenUsed/>
    <w:qFormat/>
    <w:uiPriority w:val="99"/>
    <w:pPr>
      <w:tabs>
        <w:tab w:val="center" w:pos="4513"/>
        <w:tab w:val="right" w:pos="9026"/>
      </w:tabs>
    </w:pPr>
  </w:style>
  <w:style w:type="paragraph" w:styleId="21">
    <w:name w:val="header"/>
    <w:link w:val="53"/>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8"/>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Hyperlink"/>
    <w:basedOn w:val="29"/>
    <w:unhideWhenUsed/>
    <w:qFormat/>
    <w:uiPriority w:val="99"/>
    <w:rPr>
      <w:color w:val="0000FF"/>
      <w:u w:val="single"/>
    </w:rPr>
  </w:style>
  <w:style w:type="character" w:styleId="34">
    <w:name w:val="annotation reference"/>
    <w:basedOn w:val="29"/>
    <w:unhideWhenUsed/>
    <w:qFormat/>
    <w:uiPriority w:val="0"/>
    <w:rPr>
      <w:sz w:val="16"/>
      <w:szCs w:val="16"/>
    </w:rPr>
  </w:style>
  <w:style w:type="character" w:styleId="35">
    <w:name w:val="footnote reference"/>
    <w:basedOn w:val="29"/>
    <w:unhideWhenUsed/>
    <w:qFormat/>
    <w:uiPriority w:val="99"/>
    <w:rPr>
      <w:vertAlign w:val="superscript"/>
    </w:rPr>
  </w:style>
  <w:style w:type="paragraph" w:customStyle="1" w:styleId="36">
    <w:name w:val="PL"/>
    <w:link w:val="3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37">
    <w:name w:val="PL Char"/>
    <w:basedOn w:val="29"/>
    <w:link w:val="36"/>
    <w:qFormat/>
    <w:uiPriority w:val="0"/>
    <w:rPr>
      <w:rFonts w:ascii="Courier New" w:hAnsi="Courier New" w:eastAsia="宋体"/>
      <w:sz w:val="16"/>
      <w:lang w:val="en-GB" w:eastAsia="ja-JP" w:bidi="ar-SA"/>
    </w:rPr>
  </w:style>
  <w:style w:type="character" w:customStyle="1" w:styleId="38">
    <w:name w:val="Balloon Text Char"/>
    <w:basedOn w:val="29"/>
    <w:link w:val="19"/>
    <w:semiHidden/>
    <w:qFormat/>
    <w:uiPriority w:val="99"/>
    <w:rPr>
      <w:rFonts w:ascii="Tahoma" w:hAnsi="Tahoma" w:eastAsia="Times New Roman" w:cs="Tahoma"/>
      <w:sz w:val="16"/>
      <w:szCs w:val="16"/>
      <w:lang w:val="en-GB"/>
    </w:rPr>
  </w:style>
  <w:style w:type="character" w:customStyle="1" w:styleId="39">
    <w:name w:val="Caption Char"/>
    <w:basedOn w:val="29"/>
    <w:link w:val="14"/>
    <w:qFormat/>
    <w:uiPriority w:val="0"/>
    <w:rPr>
      <w:b/>
      <w:bCs/>
      <w:lang w:val="en-GB" w:eastAsia="en-US" w:bidi="ar-SA"/>
    </w:rPr>
  </w:style>
  <w:style w:type="character" w:customStyle="1" w:styleId="40">
    <w:name w:val="B1 (文字)"/>
    <w:basedOn w:val="29"/>
    <w:qFormat/>
    <w:uiPriority w:val="0"/>
    <w:rPr>
      <w:rFonts w:eastAsia="Times New Roman"/>
    </w:rPr>
  </w:style>
  <w:style w:type="character" w:customStyle="1" w:styleId="41">
    <w:name w:val="样式 正文缩进d + 首行缩进:  2 字符 段前: 0.35 行 Char"/>
    <w:basedOn w:val="29"/>
    <w:link w:val="42"/>
    <w:qFormat/>
    <w:uiPriority w:val="0"/>
    <w:rPr>
      <w:rFonts w:ascii="Times New Roman" w:hAnsi="Times New Roman" w:eastAsia="楷体_GB2312" w:cs="宋体"/>
      <w:snapToGrid w:val="0"/>
      <w:sz w:val="28"/>
    </w:rPr>
  </w:style>
  <w:style w:type="paragraph" w:customStyle="1" w:styleId="42">
    <w:name w:val="样式 正文缩进d + 首行缩进:  2 字符 段前: 0.35 行"/>
    <w:basedOn w:val="11"/>
    <w:link w:val="41"/>
    <w:qFormat/>
    <w:uiPriority w:val="0"/>
    <w:pPr>
      <w:widowControl w:val="0"/>
      <w:overflowPunct/>
      <w:autoSpaceDE/>
      <w:autoSpaceDN/>
      <w:spacing w:beforeLines="35" w:after="0" w:line="460" w:lineRule="exact"/>
      <w:ind w:firstLine="560"/>
    </w:pPr>
    <w:rPr>
      <w:rFonts w:eastAsia="楷体_GB2312" w:cs="宋体"/>
      <w:snapToGrid w:val="0"/>
      <w:sz w:val="28"/>
      <w:lang w:val="en-US" w:eastAsia="zh-CN"/>
    </w:rPr>
  </w:style>
  <w:style w:type="character" w:customStyle="1" w:styleId="43">
    <w:name w:val="Heading 1 Char"/>
    <w:basedOn w:val="29"/>
    <w:link w:val="2"/>
    <w:qFormat/>
    <w:uiPriority w:val="0"/>
    <w:rPr>
      <w:rFonts w:ascii="Arial" w:hAnsi="Arial" w:eastAsia="宋体"/>
      <w:sz w:val="28"/>
      <w:szCs w:val="22"/>
      <w:lang w:val="en-GB"/>
    </w:rPr>
  </w:style>
  <w:style w:type="character" w:customStyle="1" w:styleId="44">
    <w:name w:val="Heading 4 Char"/>
    <w:basedOn w:val="29"/>
    <w:link w:val="6"/>
    <w:qFormat/>
    <w:uiPriority w:val="0"/>
    <w:rPr>
      <w:rFonts w:ascii="Times New Roman" w:hAnsi="Times New Roman" w:eastAsia="Times New Roman"/>
      <w:b/>
      <w:bCs/>
      <w:sz w:val="28"/>
      <w:szCs w:val="28"/>
      <w:lang w:val="en-GB" w:eastAsia="en-US"/>
    </w:rPr>
  </w:style>
  <w:style w:type="character" w:customStyle="1" w:styleId="45">
    <w:name w:val="Comment Text Char"/>
    <w:basedOn w:val="29"/>
    <w:link w:val="17"/>
    <w:semiHidden/>
    <w:qFormat/>
    <w:uiPriority w:val="0"/>
    <w:rPr>
      <w:rFonts w:ascii="Times New Roman" w:hAnsi="Times New Roman" w:eastAsia="Times New Roman" w:cs="Times New Roman"/>
      <w:sz w:val="20"/>
      <w:szCs w:val="20"/>
      <w:lang w:val="en-GB"/>
    </w:rPr>
  </w:style>
  <w:style w:type="character" w:customStyle="1" w:styleId="46">
    <w:name w:val="TH Char"/>
    <w:link w:val="47"/>
    <w:qFormat/>
    <w:uiPriority w:val="0"/>
    <w:rPr>
      <w:rFonts w:ascii="Arial" w:hAnsi="Arial" w:eastAsia="Times New Roman"/>
      <w:b/>
      <w:lang w:val="en-GB" w:eastAsia="en-GB"/>
    </w:rPr>
  </w:style>
  <w:style w:type="paragraph" w:customStyle="1" w:styleId="47">
    <w:name w:val="TH"/>
    <w:basedOn w:val="1"/>
    <w:link w:val="46"/>
    <w:qFormat/>
    <w:uiPriority w:val="0"/>
    <w:pPr>
      <w:keepNext/>
      <w:keepLines/>
      <w:spacing w:before="60"/>
      <w:jc w:val="center"/>
    </w:pPr>
    <w:rPr>
      <w:rFonts w:ascii="Arial" w:hAnsi="Arial"/>
      <w:b/>
      <w:lang w:eastAsia="en-GB"/>
    </w:rPr>
  </w:style>
  <w:style w:type="character" w:customStyle="1" w:styleId="48">
    <w:name w:val="Heading 8 Char"/>
    <w:basedOn w:val="29"/>
    <w:link w:val="10"/>
    <w:qFormat/>
    <w:uiPriority w:val="0"/>
    <w:rPr>
      <w:rFonts w:ascii="Arial" w:hAnsi="Arial" w:eastAsia="宋体"/>
      <w:kern w:val="2"/>
      <w:sz w:val="21"/>
      <w:szCs w:val="24"/>
    </w:rPr>
  </w:style>
  <w:style w:type="character" w:customStyle="1" w:styleId="49">
    <w:name w:val="TAL Char"/>
    <w:basedOn w:val="29"/>
    <w:link w:val="50"/>
    <w:qFormat/>
    <w:uiPriority w:val="0"/>
    <w:rPr>
      <w:rFonts w:ascii="Arial" w:hAnsi="Arial"/>
      <w:sz w:val="18"/>
      <w:lang w:val="en-GB" w:eastAsia="ja-JP" w:bidi="ar-SA"/>
    </w:rPr>
  </w:style>
  <w:style w:type="paragraph" w:customStyle="1" w:styleId="50">
    <w:name w:val="TAL"/>
    <w:basedOn w:val="1"/>
    <w:link w:val="49"/>
    <w:qFormat/>
    <w:uiPriority w:val="0"/>
    <w:pPr>
      <w:keepNext/>
      <w:keepLines/>
      <w:spacing w:after="0"/>
    </w:pPr>
    <w:rPr>
      <w:rFonts w:ascii="Arial" w:hAnsi="Arial"/>
      <w:sz w:val="18"/>
      <w:lang w:eastAsia="ja-JP"/>
    </w:rPr>
  </w:style>
  <w:style w:type="character" w:customStyle="1" w:styleId="51">
    <w:name w:val="Text Car"/>
    <w:basedOn w:val="29"/>
    <w:link w:val="52"/>
    <w:qFormat/>
    <w:uiPriority w:val="0"/>
    <w:rPr>
      <w:rFonts w:ascii="Arial" w:hAnsi="Arial"/>
      <w:lang w:val="en-US" w:eastAsia="en-US" w:bidi="ar-SA"/>
    </w:rPr>
  </w:style>
  <w:style w:type="paragraph" w:customStyle="1" w:styleId="52">
    <w:name w:val="Text"/>
    <w:basedOn w:val="1"/>
    <w:link w:val="51"/>
    <w:qFormat/>
    <w:uiPriority w:val="0"/>
    <w:pPr>
      <w:tabs>
        <w:tab w:val="left" w:pos="2268"/>
        <w:tab w:val="left" w:pos="4678"/>
      </w:tabs>
      <w:overflowPunct/>
      <w:autoSpaceDE/>
      <w:autoSpaceDN/>
      <w:adjustRightInd/>
      <w:ind w:left="1418"/>
      <w:textAlignment w:val="auto"/>
    </w:pPr>
    <w:rPr>
      <w:rFonts w:ascii="Arial" w:hAnsi="Arial"/>
      <w:lang w:val="en-US"/>
    </w:rPr>
  </w:style>
  <w:style w:type="character" w:customStyle="1" w:styleId="53">
    <w:name w:val="Header Char"/>
    <w:basedOn w:val="29"/>
    <w:link w:val="21"/>
    <w:qFormat/>
    <w:uiPriority w:val="0"/>
    <w:rPr>
      <w:rFonts w:ascii="Arial" w:hAnsi="Arial" w:eastAsia="Times New Roman"/>
      <w:b/>
      <w:sz w:val="18"/>
      <w:lang w:val="en-US" w:eastAsia="en-US" w:bidi="ar-SA"/>
    </w:rPr>
  </w:style>
  <w:style w:type="character" w:customStyle="1" w:styleId="54">
    <w:name w:val="Heading 9 Char"/>
    <w:basedOn w:val="29"/>
    <w:link w:val="12"/>
    <w:qFormat/>
    <w:uiPriority w:val="0"/>
    <w:rPr>
      <w:rFonts w:ascii="Arial" w:hAnsi="Arial" w:eastAsia="宋体"/>
      <w:kern w:val="2"/>
      <w:sz w:val="21"/>
      <w:szCs w:val="24"/>
    </w:rPr>
  </w:style>
  <w:style w:type="character" w:customStyle="1" w:styleId="55">
    <w:name w:val="Doc-title Char"/>
    <w:basedOn w:val="29"/>
    <w:link w:val="56"/>
    <w:qFormat/>
    <w:uiPriority w:val="0"/>
    <w:rPr>
      <w:rFonts w:ascii="Arial" w:hAnsi="Arial" w:eastAsia="MS Mincho"/>
      <w:szCs w:val="24"/>
      <w:lang w:val="en-GB" w:eastAsia="en-GB" w:bidi="ar-SA"/>
    </w:rPr>
  </w:style>
  <w:style w:type="paragraph" w:customStyle="1" w:styleId="56">
    <w:name w:val="Doc-title"/>
    <w:basedOn w:val="1"/>
    <w:next w:val="57"/>
    <w:link w:val="55"/>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7">
    <w:name w:val="Doc-text2"/>
    <w:basedOn w:val="1"/>
    <w:link w:val="60"/>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8">
    <w:name w:val="Comment Subject Char"/>
    <w:basedOn w:val="45"/>
    <w:link w:val="26"/>
    <w:semiHidden/>
    <w:qFormat/>
    <w:uiPriority w:val="99"/>
    <w:rPr>
      <w:rFonts w:ascii="Times New Roman" w:hAnsi="Times New Roman" w:eastAsia="Times New Roman" w:cs="Times New Roman"/>
      <w:b/>
      <w:bCs/>
      <w:sz w:val="20"/>
      <w:szCs w:val="20"/>
      <w:lang w:val="en-GB"/>
    </w:rPr>
  </w:style>
  <w:style w:type="character" w:customStyle="1" w:styleId="59">
    <w:name w:val="Footer Char"/>
    <w:basedOn w:val="29"/>
    <w:link w:val="20"/>
    <w:qFormat/>
    <w:uiPriority w:val="99"/>
    <w:rPr>
      <w:rFonts w:ascii="Times New Roman" w:hAnsi="Times New Roman" w:eastAsia="Times New Roman"/>
      <w:lang w:val="en-GB" w:eastAsia="en-US"/>
    </w:rPr>
  </w:style>
  <w:style w:type="character" w:customStyle="1" w:styleId="60">
    <w:name w:val="Doc-text2 Char"/>
    <w:basedOn w:val="29"/>
    <w:link w:val="57"/>
    <w:qFormat/>
    <w:uiPriority w:val="0"/>
    <w:rPr>
      <w:rFonts w:ascii="Arial" w:hAnsi="Arial" w:eastAsia="MS Mincho"/>
      <w:szCs w:val="24"/>
      <w:lang w:val="en-GB" w:eastAsia="en-GB" w:bidi="ar-SA"/>
    </w:rPr>
  </w:style>
  <w:style w:type="character" w:customStyle="1" w:styleId="61">
    <w:name w:val="B1 Char1"/>
    <w:basedOn w:val="29"/>
    <w:link w:val="62"/>
    <w:qFormat/>
    <w:uiPriority w:val="0"/>
    <w:rPr>
      <w:rFonts w:eastAsia="MS Mincho"/>
      <w:lang w:val="en-GB" w:eastAsia="en-US" w:bidi="ar-SA"/>
    </w:rPr>
  </w:style>
  <w:style w:type="paragraph" w:customStyle="1" w:styleId="62">
    <w:name w:val="B1"/>
    <w:basedOn w:val="23"/>
    <w:link w:val="61"/>
    <w:qFormat/>
    <w:uiPriority w:val="0"/>
    <w:pPr>
      <w:overflowPunct/>
      <w:autoSpaceDE/>
      <w:autoSpaceDN/>
      <w:adjustRightInd/>
      <w:ind w:left="568" w:hanging="284"/>
      <w:textAlignment w:val="auto"/>
    </w:pPr>
    <w:rPr>
      <w:rFonts w:eastAsia="MS Mincho"/>
    </w:rPr>
  </w:style>
  <w:style w:type="character" w:customStyle="1" w:styleId="63">
    <w:name w:val="NO Char"/>
    <w:basedOn w:val="29"/>
    <w:link w:val="64"/>
    <w:qFormat/>
    <w:uiPriority w:val="0"/>
    <w:rPr>
      <w:rFonts w:eastAsia="MS Mincho"/>
      <w:lang w:val="en-GB" w:eastAsia="en-US" w:bidi="ar-SA"/>
    </w:rPr>
  </w:style>
  <w:style w:type="paragraph" w:customStyle="1" w:styleId="64">
    <w:name w:val="NO"/>
    <w:basedOn w:val="1"/>
    <w:link w:val="63"/>
    <w:qFormat/>
    <w:uiPriority w:val="0"/>
    <w:pPr>
      <w:keepLines/>
      <w:overflowPunct/>
      <w:autoSpaceDE/>
      <w:autoSpaceDN/>
      <w:adjustRightInd/>
      <w:ind w:left="1135" w:hanging="851"/>
      <w:textAlignment w:val="auto"/>
    </w:pPr>
    <w:rPr>
      <w:rFonts w:eastAsia="MS Mincho"/>
    </w:rPr>
  </w:style>
  <w:style w:type="character" w:customStyle="1" w:styleId="65">
    <w:name w:val="TAH Char"/>
    <w:basedOn w:val="29"/>
    <w:link w:val="66"/>
    <w:qFormat/>
    <w:uiPriority w:val="0"/>
    <w:rPr>
      <w:rFonts w:ascii="Arial" w:hAnsi="Arial"/>
      <w:b/>
      <w:sz w:val="18"/>
      <w:lang w:val="en-GB" w:eastAsia="ja-JP" w:bidi="ar-SA"/>
    </w:rPr>
  </w:style>
  <w:style w:type="paragraph" w:customStyle="1" w:styleId="66">
    <w:name w:val="TAH"/>
    <w:basedOn w:val="67"/>
    <w:link w:val="65"/>
    <w:qFormat/>
    <w:uiPriority w:val="0"/>
    <w:rPr>
      <w:b/>
    </w:rPr>
  </w:style>
  <w:style w:type="paragraph" w:customStyle="1" w:styleId="67">
    <w:name w:val="TAC"/>
    <w:basedOn w:val="50"/>
    <w:link w:val="75"/>
    <w:qFormat/>
    <w:uiPriority w:val="0"/>
    <w:pPr>
      <w:jc w:val="center"/>
    </w:pPr>
  </w:style>
  <w:style w:type="character" w:customStyle="1" w:styleId="68">
    <w:name w:val="msoins"/>
    <w:basedOn w:val="29"/>
    <w:qFormat/>
    <w:uiPriority w:val="0"/>
  </w:style>
  <w:style w:type="character" w:customStyle="1" w:styleId="69">
    <w:name w:val="B2 Char1"/>
    <w:basedOn w:val="45"/>
    <w:link w:val="70"/>
    <w:qFormat/>
    <w:uiPriority w:val="0"/>
    <w:rPr>
      <w:rFonts w:ascii="Times New Roman" w:hAnsi="Times New Roman" w:eastAsia="Times New Roman" w:cs="Times New Roman"/>
      <w:sz w:val="20"/>
      <w:szCs w:val="20"/>
      <w:lang w:val="en-GB" w:eastAsia="en-US" w:bidi="ar-SA"/>
    </w:rPr>
  </w:style>
  <w:style w:type="paragraph" w:customStyle="1" w:styleId="70">
    <w:name w:val="B2"/>
    <w:basedOn w:val="1"/>
    <w:link w:val="69"/>
    <w:qFormat/>
    <w:uiPriority w:val="0"/>
    <w:pPr>
      <w:overflowPunct/>
      <w:autoSpaceDE/>
      <w:autoSpaceDN/>
      <w:adjustRightInd/>
      <w:ind w:left="851" w:hanging="284"/>
      <w:textAlignment w:val="auto"/>
    </w:pPr>
  </w:style>
  <w:style w:type="character" w:customStyle="1" w:styleId="71">
    <w:name w:val="TAL + Left:  1.00 cm Char Char"/>
    <w:basedOn w:val="49"/>
    <w:link w:val="72"/>
    <w:qFormat/>
    <w:uiPriority w:val="0"/>
    <w:rPr>
      <w:rFonts w:ascii="Arial" w:hAnsi="Arial"/>
      <w:sz w:val="18"/>
      <w:lang w:val="en-GB" w:eastAsia="en-GB" w:bidi="ar-SA"/>
    </w:rPr>
  </w:style>
  <w:style w:type="paragraph" w:customStyle="1" w:styleId="72">
    <w:name w:val="TAL + Left:  1"/>
    <w:basedOn w:val="50"/>
    <w:link w:val="71"/>
    <w:qFormat/>
    <w:uiPriority w:val="0"/>
    <w:pPr>
      <w:ind w:left="567"/>
    </w:pPr>
    <w:rPr>
      <w:lang w:eastAsia="en-GB"/>
    </w:rPr>
  </w:style>
  <w:style w:type="character" w:customStyle="1" w:styleId="73">
    <w:name w:val="header odd Char"/>
    <w:basedOn w:val="29"/>
    <w:qFormat/>
    <w:uiPriority w:val="0"/>
    <w:rPr>
      <w:lang w:val="en-GB" w:eastAsia="en-US" w:bidi="ar-SA"/>
    </w:rPr>
  </w:style>
  <w:style w:type="character" w:customStyle="1" w:styleId="74">
    <w:name w:val="B1 Char"/>
    <w:basedOn w:val="29"/>
    <w:qFormat/>
    <w:uiPriority w:val="0"/>
    <w:rPr>
      <w:rFonts w:ascii="Times New Roman" w:hAnsi="Times New Roman"/>
      <w:lang w:val="en-GB" w:eastAsia="en-US"/>
    </w:rPr>
  </w:style>
  <w:style w:type="character" w:customStyle="1" w:styleId="75">
    <w:name w:val="TAC Char"/>
    <w:link w:val="67"/>
    <w:qFormat/>
    <w:uiPriority w:val="0"/>
    <w:rPr>
      <w:rFonts w:ascii="Arial" w:hAnsi="Arial" w:eastAsia="Times New Roman"/>
      <w:sz w:val="18"/>
      <w:lang w:val="en-GB" w:eastAsia="ja-JP"/>
    </w:rPr>
  </w:style>
  <w:style w:type="character" w:customStyle="1" w:styleId="76">
    <w:name w:val="占位符文本1"/>
    <w:basedOn w:val="29"/>
    <w:semiHidden/>
    <w:qFormat/>
    <w:uiPriority w:val="99"/>
    <w:rPr>
      <w:color w:val="808080"/>
    </w:rPr>
  </w:style>
  <w:style w:type="character" w:customStyle="1" w:styleId="77">
    <w:name w:val="MTEquationSection"/>
    <w:basedOn w:val="29"/>
    <w:qFormat/>
    <w:uiPriority w:val="0"/>
    <w:rPr>
      <w:rFonts w:cs="Arial"/>
      <w:bCs/>
      <w:vanish/>
      <w:color w:val="FF0000"/>
      <w:sz w:val="28"/>
      <w:szCs w:val="28"/>
      <w:lang w:eastAsia="zh-CN"/>
    </w:rPr>
  </w:style>
  <w:style w:type="character" w:customStyle="1" w:styleId="78">
    <w:name w:val="MTDisplayEquation Char"/>
    <w:basedOn w:val="29"/>
    <w:link w:val="79"/>
    <w:qFormat/>
    <w:uiPriority w:val="0"/>
    <w:rPr>
      <w:rFonts w:ascii="Times New Roman" w:hAnsi="Times New Roman" w:eastAsia="宋体"/>
    </w:rPr>
  </w:style>
  <w:style w:type="paragraph" w:customStyle="1" w:styleId="79">
    <w:name w:val="MTDisplayEquation"/>
    <w:basedOn w:val="1"/>
    <w:next w:val="1"/>
    <w:link w:val="78"/>
    <w:qFormat/>
    <w:uiPriority w:val="0"/>
    <w:pPr>
      <w:tabs>
        <w:tab w:val="center" w:pos="4680"/>
        <w:tab w:val="right" w:pos="9360"/>
      </w:tabs>
    </w:pPr>
    <w:rPr>
      <w:rFonts w:eastAsia="宋体"/>
      <w:lang w:val="en-US" w:eastAsia="zh-CN"/>
    </w:rPr>
  </w:style>
  <w:style w:type="character" w:customStyle="1" w:styleId="80">
    <w:name w:val="apple-converted-space"/>
    <w:basedOn w:val="29"/>
    <w:qFormat/>
    <w:uiPriority w:val="0"/>
  </w:style>
  <w:style w:type="character" w:customStyle="1" w:styleId="81">
    <w:name w:val="列出段落 Char"/>
    <w:link w:val="82"/>
    <w:qFormat/>
    <w:uiPriority w:val="72"/>
    <w:rPr>
      <w:rFonts w:ascii="宋体" w:hAnsi="宋体" w:eastAsia="宋体" w:cs="宋体"/>
      <w:sz w:val="24"/>
      <w:szCs w:val="24"/>
    </w:rPr>
  </w:style>
  <w:style w:type="paragraph" w:customStyle="1" w:styleId="82">
    <w:name w:val="列出段落1"/>
    <w:basedOn w:val="1"/>
    <w:link w:val="81"/>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3">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4">
    <w:name w:val="Reference"/>
    <w:basedOn w:val="1"/>
    <w:qFormat/>
    <w:uiPriority w:val="0"/>
    <w:pPr>
      <w:tabs>
        <w:tab w:val="left" w:pos="420"/>
      </w:tabs>
      <w:ind w:left="420" w:right="-99" w:hanging="420"/>
    </w:pPr>
    <w:rPr>
      <w:rFonts w:eastAsia="MS Mincho"/>
      <w:sz w:val="22"/>
    </w:rPr>
  </w:style>
  <w:style w:type="paragraph" w:customStyle="1" w:styleId="85">
    <w:name w:val="CR Cover Page"/>
    <w:qFormat/>
    <w:uiPriority w:val="0"/>
    <w:pPr>
      <w:spacing w:after="120" w:line="276" w:lineRule="auto"/>
    </w:pPr>
    <w:rPr>
      <w:rFonts w:ascii="Arial" w:hAnsi="Arial" w:eastAsia="MS Mincho" w:cs="Times New Roman"/>
      <w:lang w:val="en-GB" w:eastAsia="en-US" w:bidi="ar-SA"/>
    </w:rPr>
  </w:style>
  <w:style w:type="paragraph" w:customStyle="1" w:styleId="86">
    <w:name w:val="附图正文"/>
    <w:basedOn w:val="1"/>
    <w:qFormat/>
    <w:uiPriority w:val="0"/>
    <w:pPr>
      <w:widowControl w:val="0"/>
      <w:overflowPunct/>
      <w:autoSpaceDE/>
      <w:autoSpaceDN/>
      <w:spacing w:after="0"/>
    </w:pPr>
    <w:rPr>
      <w:rFonts w:eastAsia="宋体"/>
      <w:bCs/>
      <w:snapToGrid w:val="0"/>
      <w:sz w:val="28"/>
      <w:lang w:val="en-US" w:eastAsia="zh-CN"/>
    </w:rPr>
  </w:style>
  <w:style w:type="paragraph" w:customStyle="1" w:styleId="87">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8">
    <w:name w:val="EQ"/>
    <w:basedOn w:val="1"/>
    <w:next w:val="1"/>
    <w:qFormat/>
    <w:uiPriority w:val="0"/>
    <w:pPr>
      <w:keepLines/>
      <w:tabs>
        <w:tab w:val="center" w:pos="4536"/>
        <w:tab w:val="right" w:pos="9072"/>
      </w:tabs>
    </w:pPr>
    <w:rPr>
      <w:lang w:val="en-US" w:eastAsia="en-GB"/>
    </w:rPr>
  </w:style>
  <w:style w:type="paragraph" w:customStyle="1" w:styleId="89">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0">
    <w:name w:val="List Paragraph1"/>
    <w:basedOn w:val="1"/>
    <w:qFormat/>
    <w:uiPriority w:val="34"/>
    <w:pPr>
      <w:ind w:left="720"/>
      <w:contextualSpacing/>
    </w:pPr>
  </w:style>
  <w:style w:type="paragraph" w:customStyle="1" w:styleId="91">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2">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3">
    <w:name w:val="Observation"/>
    <w:basedOn w:val="1"/>
    <w:qFormat/>
    <w:uiPriority w:val="0"/>
    <w:pPr>
      <w:tabs>
        <w:tab w:val="left" w:pos="1701"/>
      </w:tabs>
      <w:ind w:left="360" w:hanging="360"/>
    </w:pPr>
    <w:rPr>
      <w:rFonts w:ascii="Arial" w:hAnsi="Arial" w:eastAsia="宋体"/>
      <w:b/>
      <w:bCs/>
      <w:lang w:eastAsia="zh-CN"/>
    </w:rPr>
  </w:style>
  <w:style w:type="paragraph" w:customStyle="1" w:styleId="94">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5">
    <w:name w:val="TAL + Left: 1"/>
    <w:basedOn w:val="50"/>
    <w:qFormat/>
    <w:uiPriority w:val="0"/>
    <w:pPr>
      <w:ind w:left="567"/>
    </w:pPr>
    <w:rPr>
      <w:lang w:eastAsia="en-US"/>
    </w:rPr>
  </w:style>
  <w:style w:type="paragraph" w:customStyle="1" w:styleId="96">
    <w:name w:val="TF"/>
    <w:basedOn w:val="47"/>
    <w:qFormat/>
    <w:uiPriority w:val="0"/>
    <w:pPr>
      <w:keepNext w:val="0"/>
      <w:spacing w:before="0" w:after="240"/>
    </w:pPr>
  </w:style>
  <w:style w:type="paragraph" w:customStyle="1" w:styleId="97">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8">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99">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0">
    <w:name w:val="Body Text Char"/>
    <w:basedOn w:val="29"/>
    <w:link w:val="4"/>
    <w:qFormat/>
    <w:uiPriority w:val="0"/>
    <w:rPr>
      <w:rFonts w:eastAsia="MS Mincho"/>
      <w:lang w:val="en-GB" w:eastAsia="en-US"/>
    </w:rPr>
  </w:style>
  <w:style w:type="paragraph" w:customStyle="1" w:styleId="101">
    <w:name w:val="列出段落2"/>
    <w:basedOn w:val="1"/>
    <w:qFormat/>
    <w:uiPriority w:val="99"/>
    <w:pPr>
      <w:ind w:firstLine="420" w:firstLineChars="200"/>
    </w:pPr>
  </w:style>
  <w:style w:type="paragraph" w:customStyle="1" w:styleId="102">
    <w:name w:val="列出段落21"/>
    <w:basedOn w:val="1"/>
    <w:semiHidden/>
    <w:qFormat/>
    <w:uiPriority w:val="99"/>
    <w:pPr>
      <w:ind w:firstLine="420" w:firstLineChars="200"/>
    </w:pPr>
  </w:style>
  <w:style w:type="character" w:customStyle="1" w:styleId="103">
    <w:name w:val="Heading 2 Char"/>
    <w:basedOn w:val="29"/>
    <w:link w:val="3"/>
    <w:qFormat/>
    <w:uiPriority w:val="0"/>
    <w:rPr>
      <w:rFonts w:ascii="Times New Roman" w:hAnsi="Times New Roman" w:eastAsia="Times New Roman" w:cs="Arial"/>
      <w:b/>
      <w:bCs/>
      <w:iCs/>
      <w:szCs w:val="28"/>
      <w:lang w:eastAsia="en-US"/>
    </w:rPr>
  </w:style>
  <w:style w:type="paragraph" w:customStyle="1" w:styleId="104">
    <w:name w:val="List Paragraph2"/>
    <w:basedOn w:val="1"/>
    <w:unhideWhenUsed/>
    <w:qFormat/>
    <w:uiPriority w:val="99"/>
    <w:pPr>
      <w:ind w:firstLine="420" w:firstLineChars="200"/>
    </w:pPr>
  </w:style>
  <w:style w:type="paragraph" w:customStyle="1" w:styleId="105">
    <w:name w:val="列出段落3"/>
    <w:basedOn w:val="1"/>
    <w:unhideWhenUsed/>
    <w:qFormat/>
    <w:uiPriority w:val="99"/>
    <w:pPr>
      <w:ind w:left="720"/>
      <w:contextualSpacing/>
    </w:pPr>
  </w:style>
  <w:style w:type="paragraph" w:customStyle="1" w:styleId="106">
    <w:name w:val="main text"/>
    <w:basedOn w:val="1"/>
    <w:link w:val="107"/>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7">
    <w:name w:val="main text Char"/>
    <w:link w:val="106"/>
    <w:qFormat/>
    <w:uiPriority w:val="0"/>
    <w:rPr>
      <w:rFonts w:eastAsia="Malgun Gothic"/>
      <w:lang w:val="en-GB" w:eastAsia="ko-KR"/>
    </w:rPr>
  </w:style>
  <w:style w:type="paragraph" w:styleId="108">
    <w:name w:val="List Paragraph"/>
    <w:basedOn w:val="1"/>
    <w:qFormat/>
    <w:uiPriority w:val="99"/>
    <w:pPr>
      <w:ind w:firstLine="420" w:firstLineChars="200"/>
    </w:pPr>
  </w:style>
  <w:style w:type="paragraph" w:customStyle="1" w:styleId="109">
    <w:name w:val="References"/>
    <w:basedOn w:val="1"/>
    <w:qFormat/>
    <w:uiPriority w:val="0"/>
    <w:pPr>
      <w:numPr>
        <w:ilvl w:val="0"/>
        <w:numId w:val="2"/>
      </w:numPr>
      <w:overflowPunct/>
      <w:adjustRightInd/>
      <w:spacing w:after="60"/>
      <w:textAlignment w:val="auto"/>
    </w:pPr>
    <w:rPr>
      <w:szCs w:val="16"/>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5383F31-1037-4FE9-ABDF-944359ABAB8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9</Pages>
  <Words>4120</Words>
  <Characters>23487</Characters>
  <Lines>195</Lines>
  <Paragraphs>55</Paragraphs>
  <TotalTime>11</TotalTime>
  <ScaleCrop>false</ScaleCrop>
  <LinksUpToDate>false</LinksUpToDate>
  <CharactersWithSpaces>27552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2021-04-06T08:33:00Z</dcterms:created>
  <dc:creator>ZTE</dc:creator>
  <cp:lastModifiedBy>ZTE</cp:lastModifiedBy>
  <cp:lastPrinted>2011-10-28T07:16:00Z</cp:lastPrinted>
  <dcterms:modified xsi:type="dcterms:W3CDTF">2021-05-11T06:57:39Z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